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长城小标宋体" w:hAnsi="仿宋" w:eastAsia="长城小标宋体"/>
          <w:b/>
          <w:bCs/>
          <w:w w:val="150"/>
          <w:sz w:val="36"/>
          <w:szCs w:val="36"/>
        </w:rPr>
      </w:pPr>
      <w:bookmarkStart w:id="0" w:name="_GoBack"/>
      <w:r>
        <w:rPr>
          <w:rFonts w:hint="eastAsia" w:ascii="长城小标宋体" w:hAnsi="华文中宋" w:eastAsia="长城小标宋体"/>
          <w:b/>
          <w:sz w:val="36"/>
          <w:szCs w:val="36"/>
        </w:rPr>
        <w:t>内蒙古医科大学2019年专业学位硕士研究生导师遴选标准</w:t>
      </w:r>
    </w:p>
    <w:bookmarkEnd w:id="0"/>
    <w:p>
      <w:pPr>
        <w:ind w:firstLine="422" w:firstLineChars="150"/>
        <w:rPr>
          <w:rFonts w:ascii="仿宋_GB2312" w:hAnsi="仿宋" w:eastAsia="仿宋_GB2312"/>
          <w:b/>
          <w:bCs/>
          <w:w w:val="150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说明：该标准适用于一下五个专业学位类别导师的遴选：临床医学、口腔医学、药学、护理、中医（蒙医学）。</w:t>
      </w:r>
    </w:p>
    <w:tbl>
      <w:tblPr>
        <w:tblStyle w:val="3"/>
        <w:tblW w:w="140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95"/>
        <w:gridCol w:w="9557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项　目</w:t>
            </w:r>
          </w:p>
        </w:tc>
        <w:tc>
          <w:tcPr>
            <w:tcW w:w="95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 格  标 准</w:t>
            </w:r>
          </w:p>
        </w:tc>
        <w:tc>
          <w:tcPr>
            <w:tcW w:w="24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政治思想、治学态度、师德医德</w:t>
            </w:r>
          </w:p>
        </w:tc>
        <w:tc>
          <w:tcPr>
            <w:tcW w:w="9557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1.拥护党的基本路线，有高尚的医德医风，团结协作，治学严谨，认真履行职责；</w:t>
            </w:r>
          </w:p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2.了解研究生培养有关政策，热爱研究生教育事业，有足够的时间和精力指导和培养研究生。</w:t>
            </w:r>
          </w:p>
        </w:tc>
        <w:tc>
          <w:tcPr>
            <w:tcW w:w="2457" w:type="dxa"/>
            <w:vAlign w:val="top"/>
          </w:tcPr>
          <w:p>
            <w:pPr>
              <w:spacing w:line="3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个人基本情况</w:t>
            </w:r>
          </w:p>
        </w:tc>
        <w:tc>
          <w:tcPr>
            <w:tcW w:w="9557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1.第一导师年龄一般在57周岁以下；第二导师的年龄在50周岁以下；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2.具有副主任医师或相当专业技术职务及以上者（50岁以下的申请者应是研究生毕业且有硕士学位）；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3.遴选临床医学、口腔医学专业学位硕士研究生指导教师从事临床工作     15年以上，近3年无医疗事故，有丰富的临床工作经验；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4.遴选护理学专业学位硕士研究生指导教师需从事临床工作10年以上，或具有学士学位且从事临床护理工作15年以上，有丰富的临床工作经验；</w:t>
            </w:r>
          </w:p>
          <w:p>
            <w:pPr>
              <w:spacing w:line="360" w:lineRule="exact"/>
              <w:ind w:firstLine="584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6"/>
                <w:sz w:val="28"/>
                <w:szCs w:val="28"/>
              </w:rPr>
              <w:t>5.遴选药学、中（蒙）医学专业学位硕士研究生指导教师需从事相关实践教学10年以上，有协助本人指导专业学位硕士研究生的临床带教和学术团队。</w:t>
            </w:r>
          </w:p>
        </w:tc>
        <w:tc>
          <w:tcPr>
            <w:tcW w:w="2457" w:type="dxa"/>
            <w:vAlign w:val="top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博士生导师、入选国家级人才年龄可适当放宽。</w:t>
            </w:r>
          </w:p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年龄计算：申请第一导师者应为1962年（含）以后出生。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49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科研情况</w:t>
            </w:r>
          </w:p>
        </w:tc>
        <w:tc>
          <w:tcPr>
            <w:tcW w:w="149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科研项目及科研经费</w:t>
            </w:r>
          </w:p>
        </w:tc>
        <w:tc>
          <w:tcPr>
            <w:tcW w:w="9557" w:type="dxa"/>
            <w:vAlign w:val="top"/>
          </w:tcPr>
          <w:p>
            <w:pPr>
              <w:spacing w:line="42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遴选第一导师者，目前正在以项目负责人身份主持市（厅）级及以上科研项目（含省、部及国家级重大项目的子课题）。目前可实际支配的科研经费不少于1万元，</w:t>
            </w:r>
            <w:r>
              <w:rPr>
                <w:rFonts w:hint="eastAsia" w:ascii="仿宋_GB2312" w:hAnsi="仿宋" w:eastAsia="仿宋_GB2312"/>
                <w:spacing w:val="-10"/>
                <w:sz w:val="28"/>
                <w:szCs w:val="28"/>
              </w:rPr>
              <w:t>同等条件下科研经费多的申请者可优先遴选。</w:t>
            </w:r>
          </w:p>
        </w:tc>
        <w:tc>
          <w:tcPr>
            <w:tcW w:w="2457" w:type="dxa"/>
            <w:vAlign w:val="center"/>
          </w:tcPr>
          <w:p>
            <w:pPr>
              <w:spacing w:line="4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领先、重点学科、重点实验室、自治区级或以上的学科带头人可适当放宽条件。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96" w:type="dxa"/>
            <w:vMerge w:val="continue"/>
            <w:vAlign w:val="top"/>
          </w:tcPr>
          <w:p>
            <w:pPr>
              <w:spacing w:line="42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科研成果</w:t>
            </w:r>
          </w:p>
        </w:tc>
        <w:tc>
          <w:tcPr>
            <w:tcW w:w="9557" w:type="dxa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1.近三年以第一作者或通讯作者、责任作者在国内期刊或国外期刊至少发表2篇原著论文（其中至少1篇为核心期刊）；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2.近三年以第一作者或责任作者至少发表1篇被SCI收录的原著论文；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近三年主编或参编过省级以上正式出版的本专业学术著作；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近三年获得过省级以上单位颁发的优秀教学、科研、医疗等相关成果奖（署名一等奖前4名，二等奖前3名，三等奖前2名）；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5.近三年有省级以上单位主持鉴定的成果（包括专利、新药、新技术、新产品、新行业标准等）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；</w:t>
            </w:r>
          </w:p>
          <w:p>
            <w:pPr>
              <w:spacing w:line="36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6、获得省级以上名医（药、护、技）、教学名师等称号。</w:t>
            </w:r>
          </w:p>
        </w:tc>
        <w:tc>
          <w:tcPr>
            <w:tcW w:w="2457" w:type="dxa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遴选第一导师和第二导师人员，具备至少一条。课题研究领域应与申报专业一致。</w:t>
            </w:r>
          </w:p>
          <w:p>
            <w:pPr>
              <w:spacing w:line="34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近三年指：2015年9月1日到2018年8月31日。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医 疗 工 作</w:t>
            </w:r>
          </w:p>
        </w:tc>
        <w:tc>
          <w:tcPr>
            <w:tcW w:w="9557" w:type="dxa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  <w:r>
              <w:rPr>
                <w:rFonts w:ascii="仿宋_GB2312" w:hAnsi="仿宋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本专业医疗业务娴熟，在本科室能够独立带组进行医疗工作，具备开展新技术、新业务能力；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2.能够结合临床开展临床研究，具备明确学科研究方向，有一定临床科学研究经历。</w:t>
            </w:r>
          </w:p>
        </w:tc>
        <w:tc>
          <w:tcPr>
            <w:tcW w:w="2457" w:type="dxa"/>
            <w:vAlign w:val="top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科 研 工 作</w:t>
            </w:r>
          </w:p>
        </w:tc>
        <w:tc>
          <w:tcPr>
            <w:tcW w:w="9557" w:type="dxa"/>
            <w:vAlign w:val="top"/>
          </w:tcPr>
          <w:p>
            <w:pPr>
              <w:spacing w:line="34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能够结合临床开展临床研究，具备明确学科研究方向，有一定临床科学研究经历。</w:t>
            </w:r>
          </w:p>
        </w:tc>
        <w:tc>
          <w:tcPr>
            <w:tcW w:w="2457" w:type="dxa"/>
            <w:vAlign w:val="top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教 学 工 作</w:t>
            </w:r>
          </w:p>
        </w:tc>
        <w:tc>
          <w:tcPr>
            <w:tcW w:w="9557" w:type="dxa"/>
            <w:vAlign w:val="center"/>
          </w:tcPr>
          <w:p>
            <w:pPr>
              <w:spacing w:line="360" w:lineRule="exact"/>
              <w:ind w:left="280" w:hanging="280" w:hangingChars="1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1.有指导医学类本科生临床技能大赛经历或协助指导研究生的经历；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2.完成教研室年均教学工作量。</w:t>
            </w:r>
          </w:p>
        </w:tc>
        <w:tc>
          <w:tcPr>
            <w:tcW w:w="24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新增学科专业除外。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300" w:lineRule="exact"/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外 语 水 平</w:t>
            </w:r>
          </w:p>
        </w:tc>
        <w:tc>
          <w:tcPr>
            <w:tcW w:w="9557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能较熟练使用一门外语。</w:t>
            </w:r>
          </w:p>
        </w:tc>
        <w:tc>
          <w:tcPr>
            <w:tcW w:w="2457" w:type="dxa"/>
            <w:vAlign w:val="top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9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特 殊 条 件</w:t>
            </w:r>
          </w:p>
        </w:tc>
        <w:tc>
          <w:tcPr>
            <w:tcW w:w="9557" w:type="dxa"/>
            <w:vAlign w:val="top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博士毕业并有博士学位，目前主持国家级纵向科研项目累计世界经费达到20万及以上的具有中级职称的教师，可作为第一导师指导研究生。</w:t>
            </w:r>
          </w:p>
        </w:tc>
        <w:tc>
          <w:tcPr>
            <w:tcW w:w="24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E512C"/>
    <w:rsid w:val="23AE51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2018-05-28T00:43:00Z</dcterms:created>
  <dc:creator>Administrator</dc:creator>
  <cp:lastModifiedBy>Administrator</cp:lastModifiedBy>
  <dcterms:modified xsi:type="dcterms:W3CDTF">2018-05-28T00:45:14Z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