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/>
          <w:b/>
          <w:bCs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4" w:firstLineChars="200"/>
        <w:textAlignment w:val="auto"/>
        <w:rPr>
          <w:rFonts w:hint="eastAsia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color w:val="000000"/>
          <w:kern w:val="0"/>
          <w:sz w:val="48"/>
          <w:szCs w:val="48"/>
        </w:rPr>
        <w:t>内蒙古</w:t>
      </w:r>
      <w:r>
        <w:rPr>
          <w:rFonts w:hint="eastAsia" w:ascii="宋体" w:hAnsi="宋体" w:cs="宋体"/>
          <w:b/>
          <w:bCs/>
          <w:color w:val="000000"/>
          <w:kern w:val="0"/>
          <w:sz w:val="48"/>
          <w:szCs w:val="48"/>
          <w:lang w:val="en-US" w:eastAsia="zh-CN"/>
        </w:rPr>
        <w:t>自治区人民</w:t>
      </w:r>
      <w:r>
        <w:rPr>
          <w:rFonts w:hint="eastAsia" w:ascii="宋体" w:hAnsi="宋体" w:cs="宋体"/>
          <w:b/>
          <w:bCs/>
          <w:color w:val="000000"/>
          <w:kern w:val="0"/>
          <w:sz w:val="48"/>
          <w:szCs w:val="48"/>
        </w:rPr>
        <w:t>医院</w:t>
      </w:r>
      <w:r>
        <w:rPr>
          <w:rFonts w:hint="eastAsia"/>
          <w:b/>
          <w:bCs/>
          <w:sz w:val="48"/>
          <w:szCs w:val="48"/>
        </w:rPr>
        <w:t>天然气管道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46" w:firstLineChars="300"/>
        <w:textAlignment w:val="auto"/>
        <w:rPr>
          <w:rFonts w:hint="eastAsia" w:ascii="宋体" w:hAnsi="宋体" w:eastAsia="宋体" w:cs="宋体"/>
          <w:b/>
          <w:bCs w:val="0"/>
          <w:sz w:val="48"/>
          <w:szCs w:val="48"/>
          <w:highlight w:val="none"/>
          <w:lang w:val="en-US" w:eastAsia="zh-CN"/>
        </w:rPr>
      </w:pPr>
      <w:r>
        <w:rPr>
          <w:rFonts w:hint="eastAsia"/>
          <w:b/>
          <w:bCs/>
          <w:sz w:val="48"/>
          <w:szCs w:val="48"/>
        </w:rPr>
        <w:t>流量计拆装、清洗、检定</w:t>
      </w:r>
      <w:r>
        <w:rPr>
          <w:rFonts w:hint="eastAsia" w:ascii="宋体" w:hAnsi="宋体" w:eastAsia="宋体" w:cs="宋体"/>
          <w:b/>
          <w:bCs w:val="0"/>
          <w:sz w:val="48"/>
          <w:szCs w:val="48"/>
          <w:highlight w:val="none"/>
          <w:lang w:val="en-US" w:eastAsia="zh-CN"/>
        </w:rPr>
        <w:t>采购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/>
          <w:b/>
          <w:bCs/>
          <w:color w:val="000000"/>
          <w:sz w:val="52"/>
          <w:szCs w:val="52"/>
          <w:lang w:eastAsia="zh-CN"/>
        </w:rPr>
      </w:pPr>
      <w:r>
        <w:rPr>
          <w:rFonts w:hint="eastAsia" w:ascii="宋体"/>
          <w:b/>
          <w:bCs/>
          <w:color w:val="000000"/>
          <w:sz w:val="52"/>
          <w:szCs w:val="52"/>
          <w:lang w:eastAsia="zh-CN"/>
        </w:rPr>
        <w:t>项目要求</w:t>
      </w: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964" w:firstLineChars="300"/>
        <w:textAlignment w:val="auto"/>
        <w:rPr>
          <w:rFonts w:hint="eastAsia" w:ascii="宋体" w:hAnsi="宋体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项目名称：</w:t>
      </w:r>
      <w:r>
        <w:rPr>
          <w:rFonts w:hint="eastAsia"/>
          <w:b w:val="0"/>
          <w:bCs w:val="0"/>
          <w:sz w:val="32"/>
          <w:szCs w:val="32"/>
        </w:rPr>
        <w:t>天然气管道流量计拆装、清洗、检定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280" w:firstLineChars="400"/>
        <w:jc w:val="both"/>
        <w:textAlignment w:val="auto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备案文号：</w:t>
      </w:r>
      <w:r>
        <w:rPr>
          <w:rFonts w:hint="eastAsia"/>
          <w:color w:val="auto"/>
          <w:sz w:val="32"/>
          <w:szCs w:val="32"/>
          <w:lang w:val="en-US" w:eastAsia="zh-CN"/>
        </w:rPr>
        <w:t>项目流水号</w:t>
      </w:r>
      <w:r>
        <w:rPr>
          <w:rFonts w:hint="eastAsia"/>
          <w:color w:val="auto"/>
          <w:sz w:val="32"/>
          <w:szCs w:val="32"/>
          <w:highlight w:val="none"/>
        </w:rPr>
        <w:t>[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/>
          <w:color w:val="auto"/>
          <w:sz w:val="32"/>
          <w:szCs w:val="32"/>
          <w:highlight w:val="none"/>
        </w:rPr>
        <w:t>]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08390</w:t>
      </w:r>
      <w:r>
        <w:rPr>
          <w:rFonts w:hint="eastAsia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280" w:firstLineChars="400"/>
        <w:jc w:val="both"/>
        <w:textAlignment w:val="auto"/>
        <w:rPr>
          <w:rFonts w:hint="default" w:ascii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文件编号：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val="en-US" w:eastAsia="zh-CN"/>
        </w:rPr>
        <w:t>FS00107</w:t>
      </w: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/>
          <w:b/>
          <w:bCs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采 购 人：内蒙古自治区人民医院</w:t>
      </w: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二〇二〇年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>十一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月</w:t>
      </w:r>
    </w:p>
    <w:p>
      <w:pPr>
        <w:pStyle w:val="2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pStyle w:val="6"/>
        <w:spacing w:before="0" w:line="360" w:lineRule="auto"/>
        <w:rPr>
          <w:rFonts w:ascii="宋体" w:hAnsi="宋体" w:eastAsia="宋体"/>
          <w:sz w:val="32"/>
          <w:highlight w:val="none"/>
        </w:rPr>
      </w:pPr>
    </w:p>
    <w:p>
      <w:pPr>
        <w:pStyle w:val="6"/>
        <w:spacing w:before="0" w:line="360" w:lineRule="auto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  <w:r>
        <w:rPr>
          <w:rFonts w:ascii="宋体" w:hAnsi="宋体" w:eastAsia="宋体"/>
          <w:sz w:val="32"/>
          <w:highlight w:val="none"/>
        </w:rPr>
        <w:t>第</w:t>
      </w:r>
      <w:r>
        <w:rPr>
          <w:rFonts w:hint="eastAsia" w:ascii="宋体" w:hAnsi="宋体" w:eastAsia="宋体"/>
          <w:sz w:val="32"/>
          <w:highlight w:val="none"/>
          <w:lang w:eastAsia="zh-CN"/>
        </w:rPr>
        <w:t>一</w:t>
      </w:r>
      <w:r>
        <w:rPr>
          <w:rFonts w:hint="eastAsia" w:ascii="宋体" w:hAnsi="宋体" w:eastAsia="宋体"/>
          <w:sz w:val="32"/>
          <w:highlight w:val="none"/>
        </w:rPr>
        <w:t>章</w:t>
      </w:r>
      <w:r>
        <w:rPr>
          <w:rFonts w:ascii="宋体" w:hAnsi="宋体" w:eastAsia="宋体"/>
          <w:sz w:val="32"/>
          <w:highlight w:val="none"/>
        </w:rPr>
        <w:t xml:space="preserve"> </w:t>
      </w:r>
      <w:r>
        <w:rPr>
          <w:rFonts w:hint="eastAsia" w:ascii="宋体" w:hAnsi="宋体" w:eastAsia="宋体"/>
          <w:sz w:val="32"/>
          <w:highlight w:val="none"/>
        </w:rPr>
        <w:t>采购</w:t>
      </w:r>
      <w:r>
        <w:rPr>
          <w:rFonts w:ascii="宋体" w:hAnsi="宋体" w:eastAsia="宋体"/>
          <w:sz w:val="32"/>
          <w:highlight w:val="none"/>
        </w:rPr>
        <w:t>内容与</w:t>
      </w:r>
      <w:r>
        <w:rPr>
          <w:rFonts w:hint="eastAsia" w:ascii="宋体" w:hAnsi="宋体" w:eastAsia="宋体"/>
          <w:sz w:val="32"/>
          <w:highlight w:val="none"/>
        </w:rPr>
        <w:t>技术服务</w:t>
      </w:r>
      <w:r>
        <w:rPr>
          <w:rFonts w:hint="eastAsia" w:ascii="宋体" w:hAnsi="宋体" w:eastAsia="宋体"/>
          <w:sz w:val="32"/>
          <w:highlight w:val="none"/>
          <w:lang w:eastAsia="zh-CN"/>
        </w:rPr>
        <w:t>相关</w:t>
      </w:r>
      <w:r>
        <w:rPr>
          <w:rFonts w:hint="eastAsia" w:ascii="宋体" w:hAnsi="宋体" w:eastAsia="宋体"/>
          <w:sz w:val="32"/>
          <w:highlight w:val="none"/>
        </w:rPr>
        <w:t>要求</w:t>
      </w:r>
    </w:p>
    <w:p>
      <w:pPr>
        <w:numPr>
          <w:ilvl w:val="0"/>
          <w:numId w:val="0"/>
        </w:numPr>
        <w:rPr>
          <w:rFonts w:hint="eastAsia" w:ascii="宋体"/>
          <w:b/>
          <w:bCs/>
          <w:color w:val="000000"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/>
          <w:b/>
          <w:bCs/>
          <w:color w:val="000000"/>
          <w:sz w:val="24"/>
          <w:szCs w:val="24"/>
          <w:lang w:eastAsia="zh-CN"/>
        </w:rPr>
        <w:t>一、</w:t>
      </w:r>
      <w:r>
        <w:rPr>
          <w:rFonts w:hint="eastAsia" w:ascii="宋体"/>
          <w:b/>
          <w:bCs/>
          <w:color w:val="000000"/>
          <w:sz w:val="24"/>
          <w:szCs w:val="24"/>
        </w:rPr>
        <w:t>项目名称</w:t>
      </w:r>
      <w:r>
        <w:rPr>
          <w:rFonts w:hint="eastAsia" w:ascii="宋体"/>
          <w:b/>
          <w:bCs/>
          <w:color w:val="000000"/>
          <w:sz w:val="24"/>
          <w:szCs w:val="24"/>
          <w:lang w:eastAsia="zh-CN"/>
        </w:rPr>
        <w:t>：</w:t>
      </w:r>
      <w:r>
        <w:rPr>
          <w:rFonts w:hint="eastAsia"/>
          <w:b w:val="0"/>
          <w:bCs w:val="0"/>
          <w:sz w:val="24"/>
          <w:szCs w:val="24"/>
        </w:rPr>
        <w:t>天然气管道流量计拆装、清洗、检定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rPr>
          <w:rFonts w:hint="eastAsia" w:ascii="宋体" w:eastAsiaTheme="minorEastAsia"/>
          <w:color w:val="000000"/>
          <w:sz w:val="24"/>
          <w:szCs w:val="24"/>
          <w:lang w:eastAsia="zh-CN"/>
        </w:rPr>
      </w:pPr>
      <w:r>
        <w:rPr>
          <w:rFonts w:hint="eastAsia" w:ascii="宋体"/>
          <w:b/>
          <w:bCs/>
          <w:color w:val="000000"/>
          <w:sz w:val="24"/>
          <w:szCs w:val="24"/>
          <w:lang w:eastAsia="zh-CN"/>
        </w:rPr>
        <w:t>二、</w:t>
      </w:r>
      <w:r>
        <w:rPr>
          <w:rFonts w:hint="eastAsia" w:ascii="宋体"/>
          <w:b/>
          <w:bCs/>
          <w:color w:val="000000"/>
          <w:sz w:val="24"/>
          <w:szCs w:val="24"/>
        </w:rPr>
        <w:t>预算总价（元）</w:t>
      </w:r>
      <w:r>
        <w:rPr>
          <w:rFonts w:hint="eastAsia" w:ascii="宋体"/>
          <w:b/>
          <w:bCs/>
          <w:color w:val="000000"/>
          <w:sz w:val="24"/>
          <w:szCs w:val="24"/>
          <w:lang w:val="en-US" w:eastAsia="zh-CN"/>
        </w:rPr>
        <w:t>:</w:t>
      </w:r>
      <w:r>
        <w:rPr>
          <w:rFonts w:hint="eastAsia" w:ascii="宋体"/>
          <w:b w:val="0"/>
          <w:bCs w:val="0"/>
          <w:color w:val="000000"/>
          <w:sz w:val="24"/>
          <w:szCs w:val="24"/>
          <w:lang w:val="en-US" w:eastAsia="zh-CN"/>
        </w:rPr>
        <w:t xml:space="preserve"> 1.64万元</w:t>
      </w:r>
      <w:r>
        <w:rPr>
          <w:rFonts w:hint="eastAsia" w:ascii="宋体"/>
          <w:b w:val="0"/>
          <w:bCs w:val="0"/>
          <w:color w:val="000000"/>
          <w:sz w:val="24"/>
          <w:szCs w:val="24"/>
        </w:rPr>
        <w:tab/>
      </w:r>
      <w:r>
        <w:rPr>
          <w:rFonts w:hint="eastAsia" w:ascii="宋体"/>
          <w:color w:val="000000"/>
          <w:sz w:val="24"/>
          <w:szCs w:val="24"/>
          <w:lang w:eastAsia="zh-CN"/>
        </w:rPr>
        <w:t>（报价不得超出预算金额）。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项目范围/内容/规模/概况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highlight w:val="none"/>
          <w:lang w:val="en-US" w:eastAsia="zh-CN" w:bidi="ar-SA"/>
        </w:rPr>
        <w:t>本项目为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内蒙古自治区人民医院</w:t>
      </w:r>
      <w:r>
        <w:rPr>
          <w:rFonts w:hint="eastAsia"/>
          <w:b w:val="0"/>
          <w:bCs w:val="0"/>
          <w:sz w:val="24"/>
          <w:szCs w:val="24"/>
        </w:rPr>
        <w:t>天然气管道流量计拆装、清洗、检定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的采购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48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数量：</w:t>
      </w:r>
      <w:r>
        <w:rPr>
          <w:rFonts w:hint="eastAsia"/>
          <w:color w:val="auto"/>
          <w:sz w:val="24"/>
          <w:szCs w:val="24"/>
          <w:lang w:val="en-US" w:eastAsia="zh-CN"/>
        </w:rPr>
        <w:t>7块。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四、资质要求：</w:t>
      </w:r>
      <w:r>
        <w:rPr>
          <w:rFonts w:hint="eastAsia"/>
          <w:sz w:val="24"/>
          <w:szCs w:val="24"/>
          <w:lang w:val="en-US" w:eastAsia="zh-CN"/>
        </w:rPr>
        <w:t>燃气管道施工安装资质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五、项目要求：</w:t>
      </w:r>
    </w:p>
    <w:tbl>
      <w:tblPr>
        <w:tblStyle w:val="7"/>
        <w:tblpPr w:leftFromText="180" w:rightFromText="180" w:vertAnchor="text" w:horzAnchor="page" w:tblpX="1987" w:tblpY="1240"/>
        <w:tblOverlap w:val="never"/>
        <w:tblW w:w="79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3"/>
        <w:gridCol w:w="3222"/>
        <w:gridCol w:w="34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7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流量计拆装清洗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型号/数量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口径（mm)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TBQC-200A*2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TBQZ-200A*3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根据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本院</w:t>
      </w:r>
      <w:r>
        <w:rPr>
          <w:rFonts w:hint="eastAsia" w:ascii="宋体" w:hAnsi="宋体" w:eastAsia="宋体" w:cs="宋体"/>
          <w:sz w:val="24"/>
          <w:szCs w:val="24"/>
        </w:rPr>
        <w:t>燃气计量器具的维护要求提供燃气计量器具的维护服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2、投标人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负责燃气计量器具拆装和维护工作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提供燃气计量器具维护工作人员、工具、运输车辆及相关清洗、维修、测试场地。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3.在燃气计量器具维护期间，提供备用计量器具及其安装拆卸。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4.如果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采购方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燃气计量器具经测试，计量特性出现下降的情况。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投标人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应在能力范围内进行维修以使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采购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方的燃气计量器具达到应有的计量特性。涉及的配件费用由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采购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方承担，工时费用不计。更换的配件在1年内出现质量问题，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投标人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负责更换。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六、服务要求：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质保期及售后服务要求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两年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安装调试、试运和验收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地点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为：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指定地点，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供应商负责货物的安装调试试运，安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装调试需甲乙双方在场，安装、调试、运行和验收由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采购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方确认，并填写验收确认单。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七、交货期：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接到采购人通知后7日内安装。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57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八、付款方式：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安装调试、试运和验收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合格后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支付全额合同款。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</w:p>
    <w:p>
      <w:pPr>
        <w:spacing w:line="480" w:lineRule="exact"/>
        <w:ind w:firstLine="480" w:firstLineChars="200"/>
        <w:rPr>
          <w:rFonts w:hint="eastAsia" w:ascii="宋体" w:hAnsi="宋体"/>
          <w:sz w:val="24"/>
          <w:lang w:val="en-US"/>
        </w:rPr>
      </w:pPr>
    </w:p>
    <w:p>
      <w:pPr>
        <w:pStyle w:val="2"/>
        <w:rPr>
          <w:rFonts w:hint="eastAsia" w:ascii="宋体" w:hAnsi="宋体"/>
          <w:sz w:val="24"/>
          <w:lang w:val="en-US"/>
        </w:rPr>
      </w:pPr>
    </w:p>
    <w:p>
      <w:pPr>
        <w:pStyle w:val="2"/>
        <w:rPr>
          <w:rFonts w:hint="eastAsia" w:ascii="宋体" w:hAnsi="宋体"/>
          <w:sz w:val="24"/>
          <w:lang w:val="en-US"/>
        </w:rPr>
      </w:pPr>
    </w:p>
    <w:p>
      <w:pPr>
        <w:pStyle w:val="2"/>
        <w:rPr>
          <w:rFonts w:hint="eastAsia" w:ascii="宋体" w:hAnsi="宋体"/>
          <w:sz w:val="24"/>
          <w:lang w:val="en-US"/>
        </w:rPr>
      </w:pPr>
    </w:p>
    <w:p>
      <w:pPr>
        <w:pStyle w:val="2"/>
        <w:rPr>
          <w:rFonts w:hint="eastAsia" w:ascii="宋体" w:hAnsi="宋体"/>
          <w:sz w:val="24"/>
          <w:lang w:val="en-US"/>
        </w:rPr>
      </w:pPr>
    </w:p>
    <w:p>
      <w:pPr>
        <w:pStyle w:val="2"/>
        <w:rPr>
          <w:rFonts w:hint="eastAsia" w:ascii="宋体" w:hAnsi="宋体"/>
          <w:sz w:val="24"/>
          <w:lang w:val="en-US"/>
        </w:rPr>
      </w:pPr>
    </w:p>
    <w:p>
      <w:pPr>
        <w:pStyle w:val="2"/>
        <w:rPr>
          <w:rFonts w:hint="eastAsia" w:ascii="宋体" w:hAnsi="宋体"/>
          <w:sz w:val="24"/>
          <w:lang w:val="en-US"/>
        </w:rPr>
      </w:pPr>
    </w:p>
    <w:p>
      <w:pPr>
        <w:pStyle w:val="2"/>
        <w:rPr>
          <w:rFonts w:hint="eastAsia" w:ascii="宋体" w:hAnsi="宋体"/>
          <w:sz w:val="24"/>
          <w:lang w:val="en-US"/>
        </w:rPr>
      </w:pPr>
    </w:p>
    <w:p>
      <w:pPr>
        <w:pStyle w:val="2"/>
        <w:rPr>
          <w:rFonts w:hint="eastAsia" w:ascii="宋体" w:hAnsi="宋体"/>
          <w:sz w:val="24"/>
          <w:lang w:val="en-US"/>
        </w:rPr>
      </w:pPr>
    </w:p>
    <w:p>
      <w:pPr>
        <w:pStyle w:val="2"/>
        <w:rPr>
          <w:rFonts w:hint="eastAsia" w:ascii="宋体" w:hAnsi="宋体"/>
          <w:sz w:val="24"/>
          <w:lang w:val="en-US"/>
        </w:rPr>
      </w:pPr>
    </w:p>
    <w:p>
      <w:pPr>
        <w:pStyle w:val="2"/>
        <w:rPr>
          <w:rFonts w:hint="eastAsia" w:ascii="宋体" w:hAnsi="宋体"/>
          <w:sz w:val="24"/>
          <w:lang w:val="en-US"/>
        </w:rPr>
      </w:pPr>
    </w:p>
    <w:p>
      <w:pPr>
        <w:pStyle w:val="2"/>
        <w:rPr>
          <w:rFonts w:hint="eastAsia" w:ascii="宋体" w:hAnsi="宋体"/>
          <w:sz w:val="24"/>
          <w:lang w:val="en-US"/>
        </w:rPr>
      </w:pPr>
    </w:p>
    <w:p>
      <w:pPr>
        <w:pStyle w:val="2"/>
        <w:rPr>
          <w:rFonts w:hint="eastAsia" w:ascii="宋体" w:hAnsi="宋体"/>
          <w:sz w:val="24"/>
          <w:lang w:val="en-US"/>
        </w:rPr>
      </w:pPr>
    </w:p>
    <w:p>
      <w:pPr>
        <w:pStyle w:val="2"/>
        <w:rPr>
          <w:rFonts w:hint="eastAsia" w:ascii="宋体" w:hAnsi="宋体"/>
          <w:sz w:val="24"/>
          <w:lang w:val="en-US"/>
        </w:rPr>
      </w:pPr>
    </w:p>
    <w:p>
      <w:pPr>
        <w:pStyle w:val="2"/>
        <w:rPr>
          <w:rFonts w:hint="eastAsia" w:ascii="宋体" w:hAnsi="宋体"/>
          <w:sz w:val="24"/>
          <w:lang w:val="en-US"/>
        </w:rPr>
      </w:pPr>
    </w:p>
    <w:p>
      <w:pPr>
        <w:pStyle w:val="2"/>
        <w:rPr>
          <w:rFonts w:hint="eastAsia" w:ascii="宋体" w:hAnsi="宋体"/>
          <w:sz w:val="24"/>
          <w:lang w:val="en-US"/>
        </w:rPr>
      </w:pPr>
    </w:p>
    <w:p>
      <w:pPr>
        <w:pStyle w:val="2"/>
        <w:rPr>
          <w:rFonts w:hint="eastAsia" w:ascii="宋体" w:hAnsi="宋体"/>
          <w:sz w:val="24"/>
          <w:lang w:val="en-US"/>
        </w:rPr>
      </w:pPr>
    </w:p>
    <w:p>
      <w:pPr>
        <w:pStyle w:val="2"/>
        <w:rPr>
          <w:rFonts w:hint="eastAsia" w:ascii="宋体" w:hAnsi="宋体"/>
          <w:sz w:val="24"/>
          <w:lang w:val="en-US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00" w:lineRule="exact"/>
        <w:jc w:val="both"/>
        <w:rPr>
          <w:rStyle w:val="13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sz w:val="32"/>
          <w:szCs w:val="32"/>
          <w:highlight w:val="none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sz w:val="32"/>
          <w:szCs w:val="32"/>
          <w:highlight w:val="none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sz w:val="32"/>
          <w:szCs w:val="32"/>
          <w:highlight w:val="none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sz w:val="32"/>
          <w:szCs w:val="32"/>
          <w:highlight w:val="none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sz w:val="32"/>
          <w:szCs w:val="32"/>
          <w:highlight w:val="none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sz w:val="32"/>
          <w:szCs w:val="32"/>
          <w:highlight w:val="none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sz w:val="32"/>
          <w:szCs w:val="32"/>
          <w:highlight w:val="none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176" w:firstLineChars="1300"/>
        <w:jc w:val="both"/>
        <w:rPr>
          <w:rFonts w:ascii="宋体" w:hAnsi="宋体"/>
          <w:b/>
          <w:bCs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sz w:val="32"/>
          <w:szCs w:val="32"/>
          <w:highlight w:val="none"/>
        </w:rPr>
        <w:t>报价</w:t>
      </w:r>
      <w:r>
        <w:rPr>
          <w:rFonts w:ascii="宋体" w:hAnsi="宋体"/>
          <w:b/>
          <w:bCs/>
          <w:sz w:val="32"/>
          <w:szCs w:val="32"/>
          <w:highlight w:val="none"/>
        </w:rPr>
        <w:t>表</w:t>
      </w:r>
    </w:p>
    <w:p>
      <w:pPr>
        <w:adjustRightInd w:val="0"/>
        <w:snapToGrid w:val="0"/>
        <w:spacing w:line="460" w:lineRule="exact"/>
        <w:rPr>
          <w:rFonts w:hint="eastAsia" w:ascii="宋体" w:hAnsi="宋体"/>
          <w:b/>
          <w:bCs/>
          <w:sz w:val="24"/>
          <w:highlight w:val="none"/>
        </w:rPr>
      </w:pPr>
    </w:p>
    <w:p>
      <w:pPr>
        <w:pStyle w:val="4"/>
        <w:spacing w:line="460" w:lineRule="exact"/>
        <w:ind w:left="57" w:right="57" w:firstLine="57"/>
        <w:rPr>
          <w:rFonts w:hint="eastAsia" w:hAnsi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highlight w:val="none"/>
        </w:rPr>
        <w:t>供应商名称（加盖公章）</w:t>
      </w:r>
      <w:r>
        <w:rPr>
          <w:rFonts w:hint="eastAsia" w:hAnsi="宋体" w:cs="宋体"/>
          <w:sz w:val="24"/>
          <w:szCs w:val="24"/>
          <w:u w:val="single"/>
          <w:lang w:val="en-US" w:eastAsia="zh-CN"/>
        </w:rPr>
        <w:t xml:space="preserve">                               </w:t>
      </w:r>
    </w:p>
    <w:p>
      <w:pPr>
        <w:pStyle w:val="4"/>
        <w:spacing w:line="460" w:lineRule="exact"/>
        <w:ind w:left="57" w:right="57" w:firstLine="57"/>
        <w:rPr>
          <w:rFonts w:hint="eastAsia" w:hAnsi="宋体" w:cs="宋体"/>
          <w:sz w:val="24"/>
          <w:szCs w:val="24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both"/>
        <w:rPr>
          <w:rFonts w:hint="eastAsia"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 w:val="0"/>
          <w:bCs w:val="0"/>
          <w:sz w:val="24"/>
          <w:highlight w:val="none"/>
        </w:rPr>
        <w:t>项目名称：</w:t>
      </w:r>
      <w:r>
        <w:rPr>
          <w:rFonts w:hint="eastAsia" w:ascii="新宋体" w:hAnsi="新宋体" w:eastAsia="新宋体" w:cs="新宋体"/>
          <w:b/>
          <w:bCs w:val="0"/>
          <w:sz w:val="24"/>
          <w:szCs w:val="24"/>
          <w:highlight w:val="none"/>
          <w:lang w:val="en-US" w:eastAsia="zh-CN"/>
        </w:rPr>
        <w:t>第一包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509"/>
        <w:gridCol w:w="1620"/>
        <w:gridCol w:w="900"/>
        <w:gridCol w:w="1125"/>
        <w:gridCol w:w="144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88" w:leftChars="-4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货物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规格型号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口径（mm)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数量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88" w:leftChars="-4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单价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（元）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88" w:leftChars="-42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7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0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供热中心燃气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流量计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拆装清洗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TBQC-200A*2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2块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77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TBQZ-200A*3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3块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8898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1680" w:firstLineChars="7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总报价:大写：                         小写：</w:t>
            </w:r>
          </w:p>
        </w:tc>
      </w:tr>
    </w:tbl>
    <w:p/>
    <w:p>
      <w:pPr>
        <w:adjustRightInd w:val="0"/>
        <w:snapToGrid w:val="0"/>
        <w:spacing w:line="4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所有价格均系用人民币表示，单位为元，精确到个数位。</w:t>
      </w:r>
    </w:p>
    <w:p>
      <w:pPr>
        <w:pStyle w:val="2"/>
        <w:rPr>
          <w:rFonts w:hint="eastAsia"/>
        </w:rPr>
      </w:pPr>
    </w:p>
    <w:p>
      <w:pPr>
        <w:pStyle w:val="2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报价包括本采购项目货物的供货、运输费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装卸</w:t>
      </w:r>
      <w:r>
        <w:rPr>
          <w:rFonts w:hint="eastAsia" w:ascii="宋体" w:hAnsi="宋体"/>
          <w:sz w:val="24"/>
          <w:lang w:eastAsia="zh-CN"/>
        </w:rPr>
        <w:t>费</w:t>
      </w:r>
      <w:r>
        <w:rPr>
          <w:rFonts w:hint="eastAsia" w:ascii="宋体" w:hAnsi="宋体"/>
          <w:sz w:val="24"/>
        </w:rPr>
        <w:t>及售后服务、税金等</w:t>
      </w:r>
      <w:r>
        <w:rPr>
          <w:rFonts w:hint="eastAsia" w:ascii="宋体" w:hAnsi="宋体" w:eastAsia="宋体" w:cs="宋体"/>
          <w:sz w:val="24"/>
          <w:szCs w:val="24"/>
        </w:rPr>
        <w:t>其他相关费用。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法定代表人或法人授权代表（签字）：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</w:t>
      </w:r>
    </w:p>
    <w:p>
      <w:pPr>
        <w:numPr>
          <w:ilvl w:val="0"/>
          <w:numId w:val="0"/>
        </w:numPr>
        <w:ind w:firstLine="3600" w:firstLineChars="1500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年    月     </w:t>
      </w:r>
      <w:r>
        <w:rPr>
          <w:rFonts w:hint="eastAsia" w:ascii="宋体" w:hAnsi="宋体" w:cs="宋体"/>
          <w:sz w:val="24"/>
          <w:szCs w:val="24"/>
          <w:lang w:eastAsia="zh-CN"/>
        </w:rPr>
        <w:t>日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  <w:highlight w:val="none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sz w:val="32"/>
          <w:szCs w:val="32"/>
          <w:highlight w:val="none"/>
        </w:rPr>
        <w:t>报价</w:t>
      </w:r>
      <w:r>
        <w:rPr>
          <w:rFonts w:ascii="宋体" w:hAnsi="宋体"/>
          <w:b/>
          <w:bCs/>
          <w:sz w:val="32"/>
          <w:szCs w:val="32"/>
          <w:highlight w:val="none"/>
        </w:rPr>
        <w:t>表</w:t>
      </w:r>
    </w:p>
    <w:p>
      <w:pPr>
        <w:adjustRightInd w:val="0"/>
        <w:snapToGrid w:val="0"/>
        <w:spacing w:line="460" w:lineRule="exact"/>
        <w:rPr>
          <w:rFonts w:hint="eastAsia" w:ascii="宋体" w:hAnsi="宋体"/>
          <w:b/>
          <w:bCs/>
          <w:sz w:val="24"/>
          <w:highlight w:val="none"/>
        </w:rPr>
      </w:pPr>
    </w:p>
    <w:p>
      <w:pPr>
        <w:pStyle w:val="4"/>
        <w:spacing w:line="460" w:lineRule="exact"/>
        <w:ind w:left="57" w:right="57" w:firstLine="57"/>
        <w:rPr>
          <w:rFonts w:hint="eastAsia" w:hAnsi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highlight w:val="none"/>
        </w:rPr>
        <w:t>供应商名称（加盖公章）</w:t>
      </w:r>
      <w:r>
        <w:rPr>
          <w:rFonts w:hint="eastAsia" w:hAnsi="宋体" w:cs="宋体"/>
          <w:sz w:val="24"/>
          <w:szCs w:val="24"/>
          <w:u w:val="single"/>
          <w:lang w:val="en-US" w:eastAsia="zh-CN"/>
        </w:rPr>
        <w:t xml:space="preserve">                               </w:t>
      </w:r>
    </w:p>
    <w:p>
      <w:pPr>
        <w:pStyle w:val="4"/>
        <w:spacing w:line="460" w:lineRule="exact"/>
        <w:ind w:left="57" w:right="57" w:firstLine="57"/>
        <w:rPr>
          <w:rFonts w:hint="eastAsia" w:hAnsi="宋体" w:cs="宋体"/>
          <w:sz w:val="24"/>
          <w:szCs w:val="24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both"/>
        <w:rPr>
          <w:rFonts w:hint="eastAsia"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 w:val="0"/>
          <w:bCs w:val="0"/>
          <w:sz w:val="24"/>
          <w:highlight w:val="none"/>
        </w:rPr>
        <w:t>项目名称：</w:t>
      </w:r>
      <w:r>
        <w:rPr>
          <w:rFonts w:hint="eastAsia" w:ascii="新宋体" w:hAnsi="新宋体" w:eastAsia="新宋体" w:cs="新宋体"/>
          <w:b/>
          <w:bCs w:val="0"/>
          <w:sz w:val="24"/>
          <w:szCs w:val="24"/>
          <w:highlight w:val="none"/>
          <w:lang w:val="en-US" w:eastAsia="zh-CN"/>
        </w:rPr>
        <w:t>第二包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2098"/>
        <w:gridCol w:w="2167"/>
        <w:gridCol w:w="885"/>
        <w:gridCol w:w="765"/>
        <w:gridCol w:w="1320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28" w:type="dxa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2098" w:type="dxa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货物</w:t>
            </w:r>
            <w:r>
              <w:rPr>
                <w:rFonts w:hint="eastAsia" w:ascii="宋体"/>
                <w:sz w:val="24"/>
              </w:rPr>
              <w:t>名称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规格型号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口径（mm)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</w:rPr>
              <w:t>数量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单</w:t>
            </w:r>
            <w:r>
              <w:rPr>
                <w:rFonts w:hint="eastAsia" w:ascii="宋体"/>
                <w:sz w:val="24"/>
              </w:rPr>
              <w:t>价（元</w:t>
            </w:r>
            <w:r>
              <w:rPr>
                <w:rFonts w:hint="eastAsia" w:ascii="宋体"/>
                <w:sz w:val="24"/>
                <w:lang w:eastAsia="zh-CN"/>
              </w:rPr>
              <w:t>）</w:t>
            </w:r>
          </w:p>
        </w:tc>
        <w:tc>
          <w:tcPr>
            <w:tcW w:w="1489" w:type="dxa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总</w:t>
            </w:r>
            <w:r>
              <w:rPr>
                <w:rFonts w:hint="eastAsia" w:ascii="宋体"/>
                <w:sz w:val="24"/>
              </w:rPr>
              <w:t>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pStyle w:val="2"/>
              <w:ind w:firstLine="240" w:firstLineChars="1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9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教学楼燃气流量计拆装清洗</w:t>
            </w:r>
          </w:p>
        </w:tc>
        <w:tc>
          <w:tcPr>
            <w:tcW w:w="21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罗茨G40</w:t>
            </w:r>
          </w:p>
        </w:tc>
        <w:tc>
          <w:tcPr>
            <w:tcW w:w="8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50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2块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89" w:type="dxa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eastAsiaTheme="minorEastAsia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352" w:type="dxa"/>
            <w:gridSpan w:val="7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总报价:大写：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小写：</w:t>
            </w:r>
            <w:bookmarkStart w:id="0" w:name="_GoBack"/>
            <w:bookmarkEnd w:id="0"/>
          </w:p>
        </w:tc>
      </w:tr>
    </w:tbl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ascii="宋体" w:hAnsi="宋体"/>
          <w:b/>
          <w:bCs/>
          <w:sz w:val="32"/>
          <w:szCs w:val="32"/>
          <w:highlight w:val="none"/>
        </w:rPr>
      </w:pPr>
    </w:p>
    <w:p>
      <w:pPr>
        <w:adjustRightInd w:val="0"/>
        <w:snapToGrid w:val="0"/>
        <w:spacing w:line="4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所有价格均系用人民币表示，单位为元，精确到个数位。</w:t>
      </w:r>
    </w:p>
    <w:p>
      <w:pPr>
        <w:pStyle w:val="2"/>
        <w:rPr>
          <w:rFonts w:hint="eastAsia"/>
        </w:rPr>
      </w:pPr>
    </w:p>
    <w:p>
      <w:pPr>
        <w:pStyle w:val="2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报价包括本采购项目货物的供货、运输费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装卸</w:t>
      </w:r>
      <w:r>
        <w:rPr>
          <w:rFonts w:hint="eastAsia" w:ascii="宋体" w:hAnsi="宋体"/>
          <w:sz w:val="24"/>
          <w:lang w:eastAsia="zh-CN"/>
        </w:rPr>
        <w:t>费</w:t>
      </w:r>
      <w:r>
        <w:rPr>
          <w:rFonts w:hint="eastAsia" w:ascii="宋体" w:hAnsi="宋体"/>
          <w:sz w:val="24"/>
        </w:rPr>
        <w:t>及售后服务、税金等</w:t>
      </w:r>
      <w:r>
        <w:rPr>
          <w:rFonts w:hint="eastAsia" w:ascii="宋体" w:hAnsi="宋体" w:eastAsia="宋体" w:cs="宋体"/>
          <w:sz w:val="24"/>
          <w:szCs w:val="24"/>
        </w:rPr>
        <w:t>其他相关费用。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法定代表人或法人授权代表（签字）：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</w:t>
      </w:r>
    </w:p>
    <w:p>
      <w:pPr>
        <w:numPr>
          <w:ilvl w:val="0"/>
          <w:numId w:val="0"/>
        </w:numPr>
        <w:ind w:firstLine="3600" w:firstLineChars="1500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年    月     </w:t>
      </w:r>
      <w:r>
        <w:rPr>
          <w:rFonts w:hint="eastAsia" w:ascii="宋体" w:hAnsi="宋体" w:cs="宋体"/>
          <w:sz w:val="24"/>
          <w:szCs w:val="24"/>
          <w:lang w:eastAsia="zh-CN"/>
        </w:rPr>
        <w:t>日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both"/>
        <w:rPr>
          <w:rFonts w:ascii="宋体" w:hAnsi="宋体"/>
          <w:b/>
          <w:bCs/>
          <w:sz w:val="32"/>
          <w:szCs w:val="32"/>
          <w:highlight w:val="none"/>
        </w:rPr>
      </w:pPr>
    </w:p>
    <w:p>
      <w:pPr>
        <w:numPr>
          <w:ilvl w:val="0"/>
          <w:numId w:val="0"/>
        </w:numPr>
        <w:rPr>
          <w:rFonts w:hint="default" w:ascii="宋体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/>
          <w:color w:val="000000"/>
          <w:sz w:val="28"/>
          <w:szCs w:val="28"/>
          <w:lang w:val="en-US" w:eastAsia="zh-CN"/>
        </w:rPr>
      </w:pPr>
    </w:p>
    <w:sectPr>
      <w:pgSz w:w="11906" w:h="16838"/>
      <w:pgMar w:top="873" w:right="1236" w:bottom="873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601BA"/>
    <w:rsid w:val="0016105B"/>
    <w:rsid w:val="08A17576"/>
    <w:rsid w:val="08FE748A"/>
    <w:rsid w:val="0B125649"/>
    <w:rsid w:val="0C185E5A"/>
    <w:rsid w:val="0E960671"/>
    <w:rsid w:val="125506FE"/>
    <w:rsid w:val="14EA3490"/>
    <w:rsid w:val="14F46B17"/>
    <w:rsid w:val="251E67C9"/>
    <w:rsid w:val="29CB23DD"/>
    <w:rsid w:val="2D066E3D"/>
    <w:rsid w:val="2D1669A9"/>
    <w:rsid w:val="2DC873C0"/>
    <w:rsid w:val="3131542A"/>
    <w:rsid w:val="32C0061C"/>
    <w:rsid w:val="3482633D"/>
    <w:rsid w:val="356B3B90"/>
    <w:rsid w:val="3A6601BA"/>
    <w:rsid w:val="43636ACC"/>
    <w:rsid w:val="44037012"/>
    <w:rsid w:val="49542FE1"/>
    <w:rsid w:val="4D495D62"/>
    <w:rsid w:val="592374C7"/>
    <w:rsid w:val="5A385700"/>
    <w:rsid w:val="5B2F2A7C"/>
    <w:rsid w:val="690A2125"/>
    <w:rsid w:val="6A8F13A1"/>
    <w:rsid w:val="6AC50D4C"/>
    <w:rsid w:val="73330F42"/>
    <w:rsid w:val="76B45845"/>
    <w:rsid w:val="76DD7CC3"/>
    <w:rsid w:val="76DF22D3"/>
    <w:rsid w:val="78CC7FED"/>
    <w:rsid w:val="794873A1"/>
    <w:rsid w:val="7B054F78"/>
    <w:rsid w:val="7E16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/>
      <w:sz w:val="20"/>
    </w:r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10"/>
    <w:pPr>
      <w:spacing w:before="240" w:after="60"/>
      <w:ind w:firstLine="0" w:firstLineChars="0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2020-04-13T01:11:00Z</dcterms:created>
  <dc:creator>Administrator</dc:creator>
  <cp:lastModifiedBy>Administrator</cp:lastModifiedBy>
  <cp:lastPrinted>2020-06-30T03:59:00Z</cp:lastPrinted>
  <dcterms:modified xsi:type="dcterms:W3CDTF">2020-11-20T06:11:35Z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