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52"/>
          <w:szCs w:val="52"/>
          <w:lang w:eastAsia="zh-CN"/>
        </w:rPr>
      </w:pPr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采购项目要求</w:t>
      </w: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3198" w:leftChars="456" w:hanging="2240" w:hangingChars="700"/>
        <w:jc w:val="both"/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项 目 名 称：感应门配件、智能操控装置、变频器</w:t>
      </w: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  <w:t>等货物采购</w:t>
      </w:r>
    </w:p>
    <w:p>
      <w:pPr>
        <w:numPr>
          <w:ilvl w:val="0"/>
          <w:numId w:val="0"/>
        </w:numPr>
        <w:ind w:left="1278" w:leftChars="456" w:hanging="320" w:hangingChars="100"/>
        <w:jc w:val="both"/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  <w:t>备案文号：项目流水号[2021]</w:t>
      </w: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10073</w:t>
      </w: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  <w:t>号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default" w:ascii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  <w:t>文件编号：FS2021</w:t>
      </w: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111 </w:t>
      </w: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 xml:space="preserve">  采 购 人：内蒙古自治区人民医院</w:t>
      </w: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年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月</w:t>
      </w:r>
    </w:p>
    <w:p>
      <w:pPr>
        <w:pStyle w:val="3"/>
        <w:numPr>
          <w:ilvl w:val="0"/>
          <w:numId w:val="1"/>
        </w:numPr>
        <w:jc w:val="center"/>
        <w:rPr>
          <w:rFonts w:hint="eastAsia" w:ascii="宋体" w:hAnsi="宋体" w:eastAsia="宋体"/>
          <w:sz w:val="32"/>
          <w:highlight w:val="none"/>
        </w:rPr>
      </w:pPr>
      <w:bookmarkStart w:id="0" w:name="_Toc15829"/>
      <w:r>
        <w:rPr>
          <w:rFonts w:hint="eastAsia" w:ascii="宋体" w:hAnsi="宋体" w:eastAsia="宋体"/>
          <w:sz w:val="32"/>
          <w:highlight w:val="none"/>
        </w:rPr>
        <w:t>投标人须知</w:t>
      </w:r>
      <w:bookmarkEnd w:id="0"/>
    </w:p>
    <w:p>
      <w:pPr>
        <w:pStyle w:val="3"/>
        <w:numPr>
          <w:ilvl w:val="0"/>
          <w:numId w:val="0"/>
        </w:numPr>
        <w:jc w:val="center"/>
        <w:rPr>
          <w:b/>
          <w:sz w:val="24"/>
        </w:rPr>
      </w:pPr>
      <w:r>
        <w:rPr>
          <w:rFonts w:hint="eastAsia"/>
          <w:b/>
          <w:sz w:val="24"/>
        </w:rPr>
        <w:t>投标人须知前附表</w:t>
      </w:r>
    </w:p>
    <w:tbl>
      <w:tblPr>
        <w:tblStyle w:val="7"/>
        <w:tblW w:w="85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673"/>
        <w:gridCol w:w="61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目</w:t>
            </w:r>
          </w:p>
        </w:tc>
        <w:tc>
          <w:tcPr>
            <w:tcW w:w="6166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内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采购人名称</w:t>
            </w:r>
          </w:p>
        </w:tc>
        <w:tc>
          <w:tcPr>
            <w:tcW w:w="6166" w:type="dxa"/>
            <w:vAlign w:val="center"/>
          </w:tcPr>
          <w:p>
            <w:pPr>
              <w:tabs>
                <w:tab w:val="left" w:pos="360"/>
              </w:tabs>
              <w:spacing w:line="5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内蒙古自治区人民医院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6166" w:type="dxa"/>
            <w:vAlign w:val="center"/>
          </w:tcPr>
          <w:p>
            <w:pPr>
              <w:widowControl/>
              <w:spacing w:line="48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感应门配件、智能操控装置、变频器及冰箱电热水器等货物采购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采购范围</w:t>
            </w:r>
          </w:p>
        </w:tc>
        <w:tc>
          <w:tcPr>
            <w:tcW w:w="6166" w:type="dxa"/>
            <w:vAlign w:val="center"/>
          </w:tcPr>
          <w:p>
            <w:pPr>
              <w:adjustRightInd w:val="0"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感应门配件、智能操控装置、变频器及冰箱电热水器等货物采购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供应商</w:t>
            </w:r>
          </w:p>
          <w:p>
            <w:pPr>
              <w:adjustRightInd w:val="0"/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资格要求</w:t>
            </w:r>
          </w:p>
        </w:tc>
        <w:tc>
          <w:tcPr>
            <w:tcW w:w="6166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（一）符合《中华人民共和国政府采购法》第二十二条中的规定。</w:t>
            </w: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（二）营业执照具有上述采购内容的经营范围。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报价相关要求</w:t>
            </w:r>
          </w:p>
        </w:tc>
        <w:tc>
          <w:tcPr>
            <w:tcW w:w="616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竞争性谈判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投标供应商需在会议当日递交首轮报价表与最终报价表。</w:t>
            </w:r>
          </w:p>
          <w:p>
            <w:pPr>
              <w:adjustRightInd w:val="0"/>
              <w:spacing w:line="400" w:lineRule="exact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投标供应商首轮报价以及</w:t>
            </w:r>
            <w:r>
              <w:rPr>
                <w:rFonts w:hint="eastAsia" w:ascii="宋体" w:hAnsi="宋体" w:cs="宋体"/>
                <w:b/>
                <w:bCs/>
              </w:rPr>
              <w:t>最终报价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均</w:t>
            </w:r>
            <w:r>
              <w:rPr>
                <w:rFonts w:hint="eastAsia" w:ascii="宋体" w:hAnsi="宋体" w:cs="宋体"/>
                <w:b/>
                <w:bCs/>
              </w:rPr>
              <w:t>以书面形式须由法定代表人或其授权人签字确认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并加盖公章</w:t>
            </w:r>
            <w:r>
              <w:rPr>
                <w:rFonts w:hint="eastAsia" w:ascii="宋体" w:hAnsi="宋体" w:cs="宋体"/>
                <w:b/>
                <w:bCs/>
              </w:rPr>
              <w:t>后，在规定的时间内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递交</w:t>
            </w:r>
            <w:r>
              <w:rPr>
                <w:rFonts w:hint="eastAsia" w:ascii="宋体" w:hAnsi="宋体" w:cs="宋体"/>
                <w:b/>
                <w:bCs/>
              </w:rPr>
              <w:t>。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3.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报价表需要列明货物品牌、型号、生产企业、数量、单价、总价、质保期及交货期等内容。</w:t>
            </w:r>
          </w:p>
          <w:p>
            <w:pPr>
              <w:adjustRightInd w:val="0"/>
              <w:spacing w:line="400" w:lineRule="exact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4.投标供应商仔细阅读本文件中“第二章 采购内容与技术服务相关要求”，必须满足全部要求的情况下方可报价，供应商递交报价表即视为响应全部项目要求。</w:t>
            </w:r>
          </w:p>
          <w:p>
            <w:pPr>
              <w:adjustRightInd w:val="0"/>
              <w:spacing w:line="400" w:lineRule="exact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5.报价表模板详见第三章。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cs="宋体" w:eastAsiaTheme="minorEastAsia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  <w:highlight w:val="none"/>
                <w:lang w:eastAsia="zh-CN"/>
              </w:rPr>
              <w:t>会议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  <w:highlight w:val="none"/>
              </w:rPr>
              <w:t>时间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  <w:highlight w:val="none"/>
                <w:lang w:eastAsia="zh-CN"/>
              </w:rPr>
              <w:t>及地点</w:t>
            </w:r>
          </w:p>
        </w:tc>
        <w:tc>
          <w:tcPr>
            <w:tcW w:w="6166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时间：</w:t>
            </w:r>
            <w:r>
              <w:rPr>
                <w:rFonts w:ascii="宋体" w:hAnsi="宋体" w:cs="宋体"/>
                <w:szCs w:val="21"/>
                <w:highlight w:val="none"/>
              </w:rPr>
              <w:t>20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2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日上午8:30（北京时间）</w:t>
            </w:r>
          </w:p>
          <w:p>
            <w:pPr>
              <w:spacing w:line="400" w:lineRule="exact"/>
              <w:rPr>
                <w:rFonts w:asci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地点：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内蒙古自治区人民医院招标采购中心（科教楼三楼）</w:t>
            </w:r>
          </w:p>
        </w:tc>
      </w:tr>
    </w:tbl>
    <w:p>
      <w:pPr>
        <w:pStyle w:val="6"/>
        <w:spacing w:before="0" w:line="360" w:lineRule="auto"/>
        <w:jc w:val="center"/>
        <w:rPr>
          <w:rFonts w:ascii="宋体" w:hAnsi="宋体" w:eastAsia="宋体"/>
          <w:sz w:val="32"/>
          <w:highlight w:val="none"/>
        </w:rPr>
      </w:pPr>
    </w:p>
    <w:p>
      <w:pPr>
        <w:rPr>
          <w:rFonts w:ascii="宋体" w:hAnsi="宋体" w:eastAsia="宋体"/>
          <w:sz w:val="32"/>
          <w:highlight w:val="none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0"/>
        </w:numPr>
        <w:spacing w:before="0" w:line="360" w:lineRule="auto"/>
        <w:jc w:val="center"/>
        <w:rPr>
          <w:rFonts w:hint="eastAsia" w:ascii="宋体" w:hAnsi="宋体" w:eastAsia="宋体"/>
          <w:sz w:val="32"/>
          <w:highlight w:val="none"/>
        </w:rPr>
      </w:pPr>
      <w:r>
        <w:rPr>
          <w:rFonts w:hint="eastAsia"/>
          <w:sz w:val="28"/>
          <w:szCs w:val="28"/>
          <w:lang w:val="en-US" w:eastAsia="zh-CN"/>
        </w:rPr>
        <w:t xml:space="preserve">第二章 </w:t>
      </w:r>
      <w:r>
        <w:rPr>
          <w:rFonts w:hint="eastAsia" w:ascii="宋体" w:hAnsi="宋体" w:eastAsia="宋体"/>
          <w:sz w:val="32"/>
          <w:highlight w:val="none"/>
        </w:rPr>
        <w:t>采购</w:t>
      </w:r>
      <w:r>
        <w:rPr>
          <w:rFonts w:ascii="宋体" w:hAnsi="宋体" w:eastAsia="宋体"/>
          <w:sz w:val="32"/>
          <w:highlight w:val="none"/>
        </w:rPr>
        <w:t>内容与</w:t>
      </w:r>
      <w:r>
        <w:rPr>
          <w:rFonts w:hint="eastAsia" w:ascii="宋体" w:hAnsi="宋体" w:eastAsia="宋体"/>
          <w:sz w:val="32"/>
          <w:highlight w:val="none"/>
        </w:rPr>
        <w:t>技术服务</w:t>
      </w:r>
      <w:r>
        <w:rPr>
          <w:rFonts w:hint="eastAsia" w:ascii="宋体" w:hAnsi="宋体" w:eastAsia="宋体"/>
          <w:sz w:val="32"/>
          <w:highlight w:val="none"/>
          <w:lang w:eastAsia="zh-CN"/>
        </w:rPr>
        <w:t>相关</w:t>
      </w:r>
      <w:r>
        <w:rPr>
          <w:rFonts w:hint="eastAsia" w:ascii="宋体" w:hAnsi="宋体" w:eastAsia="宋体"/>
          <w:sz w:val="32"/>
          <w:highlight w:val="none"/>
        </w:rPr>
        <w:t>要求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项目名称：</w:t>
      </w:r>
      <w:r>
        <w:rPr>
          <w:rFonts w:hint="eastAsia"/>
          <w:sz w:val="28"/>
          <w:szCs w:val="28"/>
          <w:lang w:val="en-US" w:eastAsia="zh-CN"/>
        </w:rPr>
        <w:t>智能操控装置及多功能仪表采购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预算金额：</w:t>
      </w:r>
      <w:r>
        <w:rPr>
          <w:rFonts w:hint="eastAsia"/>
          <w:sz w:val="28"/>
          <w:szCs w:val="28"/>
          <w:lang w:val="en-US" w:eastAsia="zh-CN"/>
        </w:rPr>
        <w:t>7300元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三.明细：</w:t>
      </w:r>
    </w:p>
    <w:tbl>
      <w:tblPr>
        <w:tblStyle w:val="8"/>
        <w:tblW w:w="9540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4110"/>
        <w:gridCol w:w="144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预算单价</w:t>
            </w:r>
          </w:p>
        </w:tc>
        <w:tc>
          <w:tcPr>
            <w:tcW w:w="141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预算总价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LED信号灯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20个（红色10个、绿色10个）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1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柜智能操控装置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1个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3800</w:t>
            </w:r>
          </w:p>
        </w:tc>
        <w:tc>
          <w:tcPr>
            <w:tcW w:w="141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干式变压器温控箱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1个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3400</w:t>
            </w:r>
          </w:p>
        </w:tc>
        <w:tc>
          <w:tcPr>
            <w:tcW w:w="141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3400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四、项目技术及商务要求:</w:t>
      </w:r>
    </w:p>
    <w:p>
      <w:pPr>
        <w:pStyle w:val="4"/>
        <w:numPr>
          <w:ilvl w:val="0"/>
          <w:numId w:val="3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付款方式：验收合格后一次性付全款。</w:t>
      </w:r>
    </w:p>
    <w:p>
      <w:pPr>
        <w:pStyle w:val="4"/>
        <w:numPr>
          <w:ilvl w:val="0"/>
          <w:numId w:val="3"/>
        </w:num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验收方案:完成安装调试后试运行15天，方可验收，设备设施运行正常即验收合格。</w:t>
      </w:r>
    </w:p>
    <w:p>
      <w:pPr>
        <w:pStyle w:val="4"/>
        <w:numPr>
          <w:ilvl w:val="0"/>
          <w:numId w:val="3"/>
        </w:num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技术参数：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配电箱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LED信号灯红色10个、绿色10个。</w:t>
      </w:r>
    </w:p>
    <w:p>
      <w:pPr>
        <w:pStyle w:val="4"/>
        <w:numPr>
          <w:ilvl w:val="0"/>
          <w:numId w:val="0"/>
        </w:num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1905635" cy="2320925"/>
            <wp:effectExtent l="0" t="0" r="18415" b="3175"/>
            <wp:docPr id="1" name="图片 1" descr="微信图片_202107010936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010936421"/>
                    <pic:cNvPicPr>
                      <a:picLocks noChangeAspect="1"/>
                    </pic:cNvPicPr>
                  </pic:nvPicPr>
                  <pic:blipFill>
                    <a:blip r:embed="rId4"/>
                    <a:srcRect l="38416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3.2.开关柜智能操控装置（HZYN-9800型）采购数量：1个</w:t>
      </w:r>
    </w:p>
    <w:p>
      <w:pPr>
        <w:pStyle w:val="4"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1）电 源：AC/DC85～265V，频率50/60Hz。</w:t>
      </w:r>
    </w:p>
    <w:p>
      <w:pPr>
        <w:pStyle w:val="4"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2）工作环境：温度：-25℃～+70℃。</w:t>
      </w:r>
    </w:p>
    <w:p>
      <w:pPr>
        <w:pStyle w:val="4"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3）抗电强度：外壳与端子间大于AC3000V。</w:t>
      </w:r>
    </w:p>
    <w:p>
      <w:pPr>
        <w:pStyle w:val="4"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4）功 耗：≤10W 。</w:t>
      </w:r>
    </w:p>
    <w:p>
      <w:pPr>
        <w:pStyle w:val="4"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5）抗电磁干扰性能：符合IEC255－22的标准规定。</w:t>
      </w:r>
    </w:p>
    <w:p>
      <w:pPr>
        <w:pStyle w:val="4"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6）接线端子图：</w:t>
      </w:r>
    </w:p>
    <w:p>
      <w:pPr>
        <w:pStyle w:val="4"/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drawing>
          <wp:inline distT="0" distB="0" distL="114300" distR="114300">
            <wp:extent cx="3286760" cy="24663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3.3.干式变压器温控箱（BWD3K-260型）采购数量：1个</w:t>
      </w:r>
    </w:p>
    <w:p>
      <w:pPr>
        <w:pStyle w:val="4"/>
        <w:numPr>
          <w:ilvl w:val="0"/>
          <w:numId w:val="0"/>
        </w:numPr>
        <w:spacing w:line="360" w:lineRule="auto"/>
        <w:ind w:firstLine="280" w:firstLineChars="1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1）运行环境温度: -20℃~+55℃；</w:t>
      </w:r>
    </w:p>
    <w:p>
      <w:pPr>
        <w:pStyle w:val="4"/>
        <w:numPr>
          <w:ilvl w:val="0"/>
          <w:numId w:val="0"/>
        </w:numPr>
        <w:spacing w:line="360" w:lineRule="auto"/>
        <w:ind w:firstLine="280" w:firstLineChars="1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2）生产标准：JB/T7631-2015《变压器用电子温控器》行业标准；</w:t>
      </w:r>
    </w:p>
    <w:p>
      <w:pPr>
        <w:pStyle w:val="4"/>
        <w:numPr>
          <w:ilvl w:val="0"/>
          <w:numId w:val="0"/>
        </w:numPr>
        <w:spacing w:line="360" w:lineRule="auto"/>
        <w:ind w:firstLine="280" w:firstLineChars="1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3）工作电压 AC 220V (+10%，-15%)，AC380V±10%;50Hz</w:t>
      </w:r>
    </w:p>
    <w:p>
      <w:pPr>
        <w:pStyle w:val="4"/>
        <w:numPr>
          <w:ilvl w:val="0"/>
          <w:numId w:val="0"/>
        </w:numPr>
        <w:spacing w:line="360" w:lineRule="auto"/>
        <w:ind w:firstLine="280" w:firstLineChars="1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4）测量范围 -30.0℃～240.0℃</w:t>
      </w:r>
    </w:p>
    <w:p>
      <w:pPr>
        <w:pStyle w:val="4"/>
        <w:numPr>
          <w:ilvl w:val="0"/>
          <w:numId w:val="0"/>
        </w:numPr>
        <w:spacing w:line="360" w:lineRule="auto"/>
        <w:ind w:firstLine="280" w:firstLineChars="1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5）测量精度 ±1%(温控器0.5级)</w:t>
      </w:r>
    </w:p>
    <w:p>
      <w:pPr>
        <w:pStyle w:val="4"/>
        <w:numPr>
          <w:ilvl w:val="0"/>
          <w:numId w:val="0"/>
        </w:numPr>
        <w:spacing w:line="360" w:lineRule="auto"/>
        <w:ind w:firstLine="280" w:firstLineChars="1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6）分辨率 0.1℃</w:t>
      </w:r>
    </w:p>
    <w:p>
      <w:pPr>
        <w:pStyle w:val="4"/>
        <w:numPr>
          <w:ilvl w:val="0"/>
          <w:numId w:val="0"/>
        </w:numPr>
        <w:spacing w:line="360" w:lineRule="auto"/>
        <w:ind w:firstLine="280" w:firstLineChars="1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7）温控器功耗 :≤8W</w:t>
      </w:r>
    </w:p>
    <w:p>
      <w:pPr>
        <w:pStyle w:val="4"/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3193415" cy="2395220"/>
            <wp:effectExtent l="0" t="0" r="6985" b="5080"/>
            <wp:docPr id="3" name="图片 3" descr="微信图片_20210701093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7010936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spacing w:line="360" w:lineRule="auto"/>
        <w:ind w:left="0" w:leftChars="0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服务要求：</w:t>
      </w:r>
    </w:p>
    <w:p>
      <w:pPr>
        <w:pStyle w:val="4"/>
        <w:numPr>
          <w:ilvl w:val="0"/>
          <w:numId w:val="0"/>
        </w:numPr>
        <w:spacing w:line="360" w:lineRule="auto"/>
        <w:ind w:left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4.1.本次采购的配件由乙方负责免费安装及调试。</w:t>
      </w:r>
    </w:p>
    <w:p>
      <w:pPr>
        <w:pStyle w:val="4"/>
        <w:numPr>
          <w:ilvl w:val="0"/>
          <w:numId w:val="0"/>
        </w:numPr>
        <w:spacing w:line="360" w:lineRule="auto"/>
        <w:ind w:leftChars="2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4.2.本次购买的配件须与原有的设备设施相匹配。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5、报价要求：报价必须包含本采购项目货物的供货、运输费、安装费及售后服务、税金等一切费用。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6、质保期：自项目验收合格之日起至少1年；质保期内设备出现任何故障中标供应商负责免费维修或更换，质保期内设备运行中出现任何问题，厂家需在2小时内到场解决。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、交货期：合同签订后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24小时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内完成供货安装。</w:t>
      </w:r>
    </w:p>
    <w:p>
      <w:pPr>
        <w:widowControl/>
        <w:jc w:val="left"/>
        <w:textAlignment w:val="center"/>
        <w:outlineLvl w:val="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8、谈判会当日提供所投货物详细产品介绍参数及图片。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一、项目名称：变频器、接触器的采购和安装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二、预算金额：</w:t>
      </w:r>
      <w:r>
        <w:rPr>
          <w:rFonts w:hint="eastAsia"/>
          <w:sz w:val="28"/>
          <w:szCs w:val="28"/>
          <w:lang w:val="en-US" w:eastAsia="zh-CN"/>
        </w:rPr>
        <w:t>10400元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三.明细：</w:t>
      </w:r>
    </w:p>
    <w:tbl>
      <w:tblPr>
        <w:tblStyle w:val="8"/>
        <w:tblW w:w="9270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30"/>
        <w:gridCol w:w="3930"/>
        <w:gridCol w:w="177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3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品牌型号</w:t>
            </w:r>
          </w:p>
        </w:tc>
        <w:tc>
          <w:tcPr>
            <w:tcW w:w="17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预算单价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预算总价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变频器</w:t>
            </w: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3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ABB  ACS510-01-060A-4 ,60A,30kW</w:t>
            </w:r>
          </w:p>
        </w:tc>
        <w:tc>
          <w:tcPr>
            <w:tcW w:w="177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8000</w:t>
            </w: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接触器</w:t>
            </w: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6个</w:t>
            </w:r>
          </w:p>
        </w:tc>
        <w:tc>
          <w:tcPr>
            <w:tcW w:w="3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正泰 CJX1-140-22</w:t>
            </w:r>
          </w:p>
        </w:tc>
        <w:tc>
          <w:tcPr>
            <w:tcW w:w="177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四、项目要求: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付款方式：完成安装调试后，试运行15天，验收合格后付全款。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验收方案：完成安装调试后，试运行15天，设备设施运行正常方可验收。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报价要求：报价必须包含本采购项目货物的供货、运输费、安装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调试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费及售后服务、税金等一切费用。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交货期：合同签订后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10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日内完成供货安装。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、质保期：自项目验收合格之日起至少1年；质保期内设备出现任何故障中标供应商负责免费维修或更换，质保期内设备运行中出现任何问题，厂家需在2小时内到场解决。</w:t>
      </w:r>
    </w:p>
    <w:p>
      <w:pPr>
        <w:widowControl/>
        <w:jc w:val="left"/>
        <w:textAlignment w:val="center"/>
        <w:outlineLvl w:val="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6、谈判会当日提供所投货物详细产品介绍参数及图片。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4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项目名称：感应门配件采购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二、预算金额：</w:t>
      </w:r>
      <w:r>
        <w:rPr>
          <w:rFonts w:hint="eastAsia"/>
          <w:sz w:val="28"/>
          <w:szCs w:val="28"/>
          <w:lang w:val="en-US" w:eastAsia="zh-CN"/>
        </w:rPr>
        <w:t>7100元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三.明细：</w:t>
      </w:r>
    </w:p>
    <w:tbl>
      <w:tblPr>
        <w:tblStyle w:val="8"/>
        <w:tblW w:w="9270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515"/>
        <w:gridCol w:w="2430"/>
        <w:gridCol w:w="177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4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品牌型号</w:t>
            </w:r>
          </w:p>
        </w:tc>
        <w:tc>
          <w:tcPr>
            <w:tcW w:w="17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预算单价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预算总价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感应门端子</w:t>
            </w: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5个</w:t>
            </w:r>
          </w:p>
        </w:tc>
        <w:tc>
          <w:tcPr>
            <w:tcW w:w="24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感应门脚感</w:t>
            </w: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24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欧尼克</w:t>
            </w:r>
          </w:p>
        </w:tc>
        <w:tc>
          <w:tcPr>
            <w:tcW w:w="177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685</w:t>
            </w: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6850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四、项目要求: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付款方式：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货到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验收合格后付全款。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验收方案：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货到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验收。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报价要求：报价必须包含本采购项目货物的供货、运输费、及售后服务、税金等一切费用。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交货期：合同签订后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日内完成供货安装。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、质保期：自项目验收合格之日起至少1年；质保期内设备出现任何故障中标供应商负责免费维修或更换，质保期内设备运行中出现任何问题，厂家需在2小时内到场解决。</w:t>
      </w:r>
    </w:p>
    <w:p>
      <w:pPr>
        <w:widowControl/>
        <w:jc w:val="left"/>
        <w:textAlignment w:val="center"/>
        <w:outlineLvl w:val="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6、谈判会当日提供所投货物详细产品介绍参数及图片。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6.感应门端子                             感应门脚感</w:t>
      </w:r>
    </w:p>
    <w:p>
      <w:pPr>
        <w:pStyle w:val="4"/>
        <w:numPr>
          <w:ilvl w:val="0"/>
          <w:numId w:val="0"/>
        </w:numPr>
        <w:spacing w:line="360" w:lineRule="auto"/>
        <w:jc w:val="left"/>
      </w:pPr>
      <w:r>
        <w:drawing>
          <wp:inline distT="0" distB="0" distL="114300" distR="114300">
            <wp:extent cx="1475105" cy="1717675"/>
            <wp:effectExtent l="0" t="0" r="10795" b="15875"/>
            <wp:docPr id="1031" name="图片 1" descr="微信图片_2021062215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" descr="微信图片_202106221525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</w:t>
      </w:r>
      <w:r>
        <w:drawing>
          <wp:inline distT="0" distB="0" distL="114300" distR="114300">
            <wp:extent cx="1473200" cy="1834515"/>
            <wp:effectExtent l="0" t="0" r="12700" b="13335"/>
            <wp:docPr id="1032" name="图片 2" descr="微信图片_20210622152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2" descr="微信图片_202106221528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line="360" w:lineRule="auto"/>
        <w:jc w:val="left"/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default" w:ascii="宋体" w:hAnsi="宋体" w:eastAsiaTheme="minorEastAsia"/>
          <w:b/>
          <w:bCs/>
          <w:sz w:val="28"/>
          <w:szCs w:val="28"/>
          <w:highlight w:val="none"/>
          <w:lang w:val="en-US" w:eastAsia="zh-CN"/>
        </w:rPr>
      </w:pPr>
      <w:bookmarkStart w:id="1" w:name="_GoBack"/>
      <w:bookmarkEnd w:id="1"/>
      <w:r>
        <w:rPr>
          <w:rFonts w:hint="eastAsia" w:ascii="宋体" w:hAnsi="宋体"/>
          <w:b/>
          <w:bCs/>
          <w:sz w:val="28"/>
          <w:szCs w:val="28"/>
          <w:highlight w:val="none"/>
          <w:lang w:eastAsia="zh-CN"/>
        </w:rPr>
        <w:t>第三章</w:t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 xml:space="preserve"> 报价表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pStyle w:val="5"/>
        <w:spacing w:line="460" w:lineRule="exact"/>
        <w:ind w:left="57" w:right="57" w:firstLine="57"/>
        <w:rPr>
          <w:rFonts w:hint="eastAsia" w:hAnsi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highlight w:val="none"/>
        </w:rPr>
        <w:t>供应商名称（加盖公章）</w:t>
      </w:r>
      <w:r>
        <w:rPr>
          <w:rFonts w:hint="eastAsia" w:hAnsi="宋体" w:cs="宋体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pStyle w:val="5"/>
        <w:spacing w:line="460" w:lineRule="exact"/>
        <w:ind w:left="57" w:right="57" w:firstLine="57"/>
        <w:rPr>
          <w:rFonts w:hint="eastAsia" w:hAnsi="宋体" w:cs="宋体"/>
          <w:sz w:val="28"/>
          <w:szCs w:val="28"/>
          <w:u w:val="single"/>
          <w:lang w:val="en-US" w:eastAsia="zh-CN"/>
        </w:rPr>
      </w:pPr>
    </w:p>
    <w:p>
      <w:pPr>
        <w:pStyle w:val="5"/>
        <w:spacing w:line="460" w:lineRule="exact"/>
        <w:ind w:left="57" w:right="57" w:firstLine="57"/>
        <w:rPr>
          <w:rFonts w:hint="eastAsia" w:hAnsi="宋体" w:cs="宋体"/>
          <w:sz w:val="28"/>
          <w:szCs w:val="28"/>
          <w:u w:val="single"/>
          <w:lang w:val="en-US" w:eastAsia="zh-CN"/>
        </w:rPr>
      </w:pPr>
    </w:p>
    <w:tbl>
      <w:tblPr>
        <w:tblStyle w:val="7"/>
        <w:tblW w:w="8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753"/>
        <w:gridCol w:w="651"/>
        <w:gridCol w:w="1622"/>
        <w:gridCol w:w="1292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品牌、规格型号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交货期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4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所有价格均系用人民币表示，单位为元，精确到个数位。</w:t>
      </w:r>
    </w:p>
    <w:p>
      <w:pPr>
        <w:spacing w:line="480" w:lineRule="exact"/>
        <w:ind w:firstLine="480" w:firstLineChars="200"/>
        <w:rPr>
          <w:rFonts w:hint="eastAsia" w:ascii="宋体" w:hAnsi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报价包括本采购项目货物的供货、运输费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售后服务、税金等一切费用。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法定代表人或法人授权代表（签字）：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</w:t>
      </w: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年    月     </w:t>
      </w:r>
      <w:r>
        <w:rPr>
          <w:rFonts w:hint="eastAsia" w:ascii="宋体" w:hAnsi="宋体" w:cs="宋体"/>
          <w:sz w:val="24"/>
          <w:szCs w:val="24"/>
          <w:lang w:eastAsia="zh-CN"/>
        </w:rPr>
        <w:t>日</w:t>
      </w: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EE1BE9"/>
    <w:multiLevelType w:val="singleLevel"/>
    <w:tmpl w:val="B2EE1BE9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D22BDC0B"/>
    <w:multiLevelType w:val="singleLevel"/>
    <w:tmpl w:val="D22BDC0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2E6C696"/>
    <w:multiLevelType w:val="singleLevel"/>
    <w:tmpl w:val="E2E6C6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5C3451C"/>
    <w:multiLevelType w:val="singleLevel"/>
    <w:tmpl w:val="F5C345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5151B"/>
    <w:rsid w:val="00A93E3B"/>
    <w:rsid w:val="05D96163"/>
    <w:rsid w:val="195C1156"/>
    <w:rsid w:val="23E5151B"/>
    <w:rsid w:val="323669B5"/>
    <w:rsid w:val="430C179F"/>
    <w:rsid w:val="66A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2021-09-01T03:11:00Z</dcterms:created>
  <dc:creator>Administrator</dc:creator>
  <cp:lastModifiedBy>Administrator</cp:lastModifiedBy>
  <cp:lastPrinted>2021-09-02T00:52:00Z</cp:lastPrinted>
  <dcterms:modified xsi:type="dcterms:W3CDTF">2021-09-26T02:03:19Z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