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647DA">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Times New Roman" w:hAnsi="Times New Roman" w:eastAsia="黑体" w:cs="Times New Roman"/>
          <w:bCs/>
          <w:color w:val="auto"/>
          <w:sz w:val="32"/>
          <w:szCs w:val="32"/>
          <w:lang w:val="en-US" w:eastAsia="zh-CN"/>
        </w:rPr>
      </w:pPr>
      <w:r>
        <w:rPr>
          <w:rFonts w:ascii="Times New Roman" w:hAnsi="Times New Roman" w:eastAsia="黑体" w:cs="Times New Roman"/>
          <w:bCs/>
          <w:color w:val="auto"/>
          <w:sz w:val="32"/>
          <w:szCs w:val="32"/>
        </w:rPr>
        <w:t>附件</w:t>
      </w:r>
      <w:r>
        <w:rPr>
          <w:rFonts w:hint="eastAsia" w:ascii="Times New Roman" w:hAnsi="Times New Roman" w:eastAsia="黑体" w:cs="Times New Roman"/>
          <w:bCs/>
          <w:color w:val="auto"/>
          <w:sz w:val="32"/>
          <w:szCs w:val="32"/>
          <w:lang w:val="en-US" w:eastAsia="zh-CN"/>
        </w:rPr>
        <w:t>1</w:t>
      </w:r>
    </w:p>
    <w:p w14:paraId="2C7B968F">
      <w:pPr>
        <w:pStyle w:val="2"/>
        <w:spacing w:before="0" w:beforeAutospacing="0" w:after="0" w:afterAutospacing="0"/>
        <w:rPr>
          <w:rFonts w:hint="eastAsia"/>
          <w:lang w:val="en-US" w:eastAsia="zh-CN"/>
        </w:rPr>
      </w:pPr>
    </w:p>
    <w:p w14:paraId="74A4984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Hans"/>
        </w:rPr>
        <w:t>内蒙古医学科学院</w:t>
      </w:r>
      <w:r>
        <w:rPr>
          <w:rFonts w:hint="eastAsia" w:ascii="方正小标宋简体" w:hAnsi="方正小标宋简体" w:eastAsia="方正小标宋简体" w:cs="方正小标宋简体"/>
          <w:sz w:val="40"/>
          <w:szCs w:val="40"/>
        </w:rPr>
        <w:t>公立医院科研联合</w:t>
      </w:r>
    </w:p>
    <w:p w14:paraId="5CCA5E2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基金合作协议</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2024</w:t>
      </w:r>
      <w:r>
        <w:rPr>
          <w:rFonts w:hint="eastAsia" w:ascii="方正小标宋简体" w:hAnsi="方正小标宋简体" w:eastAsia="方正小标宋简体" w:cs="方正小标宋简体"/>
          <w:sz w:val="40"/>
          <w:szCs w:val="40"/>
          <w:lang w:eastAsia="zh-CN"/>
        </w:rPr>
        <w:t>）</w:t>
      </w:r>
    </w:p>
    <w:p w14:paraId="60DD70C9">
      <w:pPr>
        <w:pStyle w:val="2"/>
        <w:spacing w:before="0" w:beforeAutospacing="0" w:after="0" w:afterAutospacing="0"/>
      </w:pPr>
      <w:bookmarkStart w:id="0" w:name="_GoBack"/>
      <w:bookmarkEnd w:id="0"/>
    </w:p>
    <w:p w14:paraId="5029063E">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甲方：内蒙古医学科学院</w:t>
      </w:r>
    </w:p>
    <w:p w14:paraId="194B97A7">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乙方：</w:t>
      </w:r>
    </w:p>
    <w:p w14:paraId="16803C3B">
      <w:pPr>
        <w:pStyle w:val="2"/>
        <w:spacing w:before="0" w:beforeAutospacing="0" w:after="0" w:afterAutospacing="0"/>
        <w:rPr>
          <w:sz w:val="32"/>
          <w:szCs w:val="32"/>
        </w:rPr>
      </w:pPr>
    </w:p>
    <w:p w14:paraId="5CEF94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一、</w:t>
      </w:r>
      <w:r>
        <w:rPr>
          <w:rFonts w:ascii="Times New Roman" w:hAnsi="Times New Roman" w:eastAsia="黑体" w:cs="Times New Roman"/>
          <w:b w:val="0"/>
          <w:bCs/>
          <w:color w:val="auto"/>
          <w:sz w:val="32"/>
          <w:szCs w:val="32"/>
        </w:rPr>
        <w:t>概况</w:t>
      </w:r>
    </w:p>
    <w:p w14:paraId="66BC8760">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eastAsia="仿宋_GB2312"/>
          <w:color w:val="auto"/>
          <w:kern w:val="0"/>
          <w:sz w:val="32"/>
          <w:szCs w:val="32"/>
        </w:rPr>
        <w:t>为落实</w:t>
      </w:r>
      <w:r>
        <w:rPr>
          <w:rFonts w:eastAsia="仿宋_GB2312"/>
          <w:bCs/>
          <w:color w:val="auto"/>
          <w:sz w:val="32"/>
          <w:szCs w:val="32"/>
        </w:rPr>
        <w:t>公立医院高质量发展的</w:t>
      </w:r>
      <w:r>
        <w:rPr>
          <w:rFonts w:eastAsia="仿宋_GB2312"/>
          <w:bCs/>
          <w:color w:val="auto"/>
          <w:sz w:val="32"/>
          <w:szCs w:val="32"/>
          <w:lang w:eastAsia="zh-Hans"/>
        </w:rPr>
        <w:t>要求</w:t>
      </w:r>
      <w:r>
        <w:rPr>
          <w:rFonts w:eastAsia="仿宋_GB2312"/>
          <w:bCs/>
          <w:color w:val="auto"/>
          <w:sz w:val="32"/>
          <w:szCs w:val="32"/>
        </w:rPr>
        <w:t>，实施临床科研提升行动，</w:t>
      </w:r>
      <w:r>
        <w:rPr>
          <w:rFonts w:eastAsia="仿宋_GB2312"/>
          <w:color w:val="auto"/>
          <w:kern w:val="0"/>
          <w:sz w:val="32"/>
          <w:szCs w:val="32"/>
        </w:rPr>
        <w:t>推进</w:t>
      </w:r>
      <w:r>
        <w:rPr>
          <w:rFonts w:eastAsia="仿宋_GB2312"/>
          <w:bCs/>
          <w:color w:val="auto"/>
          <w:sz w:val="32"/>
          <w:szCs w:val="32"/>
        </w:rPr>
        <w:t>公立医院</w:t>
      </w:r>
      <w:r>
        <w:rPr>
          <w:rFonts w:eastAsia="仿宋_GB2312"/>
          <w:color w:val="auto"/>
          <w:kern w:val="0"/>
          <w:sz w:val="32"/>
          <w:szCs w:val="32"/>
        </w:rPr>
        <w:t>医学技术创新应用</w:t>
      </w:r>
      <w:r>
        <w:rPr>
          <w:rFonts w:eastAsia="仿宋_GB2312"/>
          <w:bCs/>
          <w:color w:val="auto"/>
          <w:sz w:val="32"/>
          <w:szCs w:val="32"/>
        </w:rPr>
        <w:t>，</w:t>
      </w:r>
      <w:r>
        <w:rPr>
          <w:rFonts w:eastAsia="仿宋_GB2312"/>
          <w:bCs/>
          <w:color w:val="auto"/>
          <w:sz w:val="32"/>
          <w:szCs w:val="32"/>
          <w:lang w:eastAsia="zh-Hans"/>
        </w:rPr>
        <w:t>内蒙古医学科学院（简称</w:t>
      </w:r>
      <w:r>
        <w:rPr>
          <w:rFonts w:hint="eastAsia" w:eastAsia="仿宋_GB2312"/>
          <w:bCs/>
          <w:color w:val="auto"/>
          <w:sz w:val="32"/>
          <w:szCs w:val="32"/>
        </w:rPr>
        <w:t>“</w:t>
      </w:r>
      <w:r>
        <w:rPr>
          <w:rFonts w:eastAsia="仿宋_GB2312"/>
          <w:bCs/>
          <w:color w:val="auto"/>
          <w:sz w:val="32"/>
          <w:szCs w:val="32"/>
          <w:lang w:eastAsia="zh-Hans"/>
        </w:rPr>
        <w:t>医科院</w:t>
      </w:r>
      <w:r>
        <w:rPr>
          <w:rFonts w:hint="eastAsia" w:eastAsia="仿宋_GB2312"/>
          <w:bCs/>
          <w:color w:val="auto"/>
          <w:sz w:val="32"/>
          <w:szCs w:val="32"/>
        </w:rPr>
        <w:t>”</w:t>
      </w:r>
      <w:r>
        <w:rPr>
          <w:rFonts w:eastAsia="仿宋_GB2312"/>
          <w:bCs/>
          <w:color w:val="auto"/>
          <w:sz w:val="32"/>
          <w:szCs w:val="32"/>
          <w:lang w:eastAsia="zh-Hans"/>
        </w:rPr>
        <w:t>）设立</w:t>
      </w:r>
      <w:r>
        <w:rPr>
          <w:rFonts w:eastAsia="仿宋_GB2312"/>
          <w:bCs/>
          <w:color w:val="auto"/>
          <w:sz w:val="32"/>
          <w:szCs w:val="32"/>
        </w:rPr>
        <w:t>公立医院</w:t>
      </w:r>
      <w:r>
        <w:rPr>
          <w:rFonts w:eastAsia="仿宋_GB2312"/>
          <w:bCs/>
          <w:color w:val="auto"/>
          <w:sz w:val="32"/>
          <w:szCs w:val="32"/>
          <w:lang w:eastAsia="zh-Hans"/>
        </w:rPr>
        <w:t>科研联合基金，</w:t>
      </w:r>
      <w:r>
        <w:rPr>
          <w:rFonts w:hint="eastAsia" w:eastAsia="仿宋_GB2312"/>
          <w:bCs/>
          <w:color w:val="auto"/>
          <w:sz w:val="32"/>
          <w:szCs w:val="32"/>
          <w:lang w:eastAsia="zh-Hans"/>
        </w:rPr>
        <w:t>乙方自愿加入该项目，并同意</w:t>
      </w:r>
      <w:r>
        <w:rPr>
          <w:rFonts w:eastAsia="仿宋_GB2312"/>
          <w:bCs/>
          <w:color w:val="auto"/>
          <w:sz w:val="32"/>
          <w:szCs w:val="32"/>
        </w:rPr>
        <w:t>按照</w:t>
      </w:r>
      <w:r>
        <w:rPr>
          <w:rFonts w:eastAsia="仿宋_GB2312"/>
          <w:bCs/>
          <w:color w:val="auto"/>
          <w:sz w:val="32"/>
          <w:szCs w:val="32"/>
          <w:highlight w:val="none"/>
        </w:rPr>
        <w:t>《内蒙古医学科学院</w:t>
      </w:r>
      <w:r>
        <w:rPr>
          <w:rFonts w:eastAsia="仿宋_GB2312"/>
          <w:bCs/>
          <w:color w:val="auto"/>
          <w:sz w:val="32"/>
          <w:szCs w:val="32"/>
          <w:highlight w:val="none"/>
          <w:lang w:eastAsia="zh-Hans"/>
        </w:rPr>
        <w:t>公立医院科研联合</w:t>
      </w:r>
      <w:r>
        <w:rPr>
          <w:rFonts w:eastAsia="仿宋_GB2312"/>
          <w:bCs/>
          <w:color w:val="auto"/>
          <w:sz w:val="32"/>
          <w:szCs w:val="32"/>
          <w:highlight w:val="none"/>
        </w:rPr>
        <w:t>基金管理办法</w:t>
      </w:r>
      <w:r>
        <w:rPr>
          <w:rFonts w:hint="default"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Hans" w:bidi="ar-SA"/>
        </w:rPr>
        <w:t>试行</w:t>
      </w:r>
      <w:r>
        <w:rPr>
          <w:rFonts w:hint="default" w:ascii="Times New Roman" w:hAnsi="Times New Roman" w:eastAsia="仿宋_GB2312" w:cs="Times New Roman"/>
          <w:color w:val="auto"/>
          <w:kern w:val="0"/>
          <w:sz w:val="32"/>
          <w:szCs w:val="32"/>
          <w:highlight w:val="none"/>
          <w:lang w:val="en-US" w:eastAsia="zh-CN" w:bidi="ar-SA"/>
        </w:rPr>
        <w:t>）》</w:t>
      </w:r>
      <w:r>
        <w:rPr>
          <w:rFonts w:eastAsia="仿宋_GB2312"/>
          <w:bCs/>
          <w:color w:val="auto"/>
          <w:sz w:val="32"/>
          <w:szCs w:val="32"/>
        </w:rPr>
        <w:t>的有关规定</w:t>
      </w:r>
      <w:r>
        <w:rPr>
          <w:rFonts w:eastAsia="仿宋_GB2312"/>
          <w:color w:val="auto"/>
          <w:sz w:val="32"/>
          <w:szCs w:val="32"/>
        </w:rPr>
        <w:t>，由</w:t>
      </w:r>
      <w:r>
        <w:rPr>
          <w:rFonts w:hint="eastAsia" w:eastAsia="仿宋_GB2312"/>
          <w:color w:val="auto"/>
          <w:sz w:val="32"/>
          <w:szCs w:val="32"/>
          <w:lang w:val="en-US" w:eastAsia="zh-CN"/>
        </w:rPr>
        <w:t>甲方</w:t>
      </w:r>
      <w:r>
        <w:rPr>
          <w:rFonts w:eastAsia="仿宋_GB2312"/>
          <w:color w:val="auto"/>
          <w:sz w:val="32"/>
          <w:szCs w:val="32"/>
        </w:rPr>
        <w:t>执行。</w:t>
      </w:r>
      <w:r>
        <w:rPr>
          <w:rFonts w:hint="eastAsia" w:eastAsia="仿宋_GB2312"/>
          <w:bCs/>
          <w:color w:val="auto"/>
          <w:sz w:val="32"/>
          <w:szCs w:val="32"/>
          <w:lang w:eastAsia="zh-Hans"/>
        </w:rPr>
        <w:t>双方达成本协议。</w:t>
      </w:r>
    </w:p>
    <w:p w14:paraId="6A106750">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二、</w:t>
      </w:r>
      <w:r>
        <w:rPr>
          <w:rFonts w:ascii="Times New Roman" w:hAnsi="Times New Roman" w:eastAsia="黑体" w:cs="Times New Roman"/>
          <w:b w:val="0"/>
          <w:bCs/>
          <w:color w:val="auto"/>
          <w:sz w:val="32"/>
          <w:szCs w:val="32"/>
        </w:rPr>
        <w:t>合作内容</w:t>
      </w:r>
    </w:p>
    <w:p w14:paraId="0F0A47FF">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lang w:val="en-US" w:eastAsia="zh-CN"/>
        </w:rPr>
        <w:t>.</w:t>
      </w:r>
      <w:r>
        <w:rPr>
          <w:rFonts w:eastAsia="仿宋_GB2312"/>
          <w:color w:val="auto"/>
          <w:kern w:val="0"/>
          <w:sz w:val="32"/>
          <w:szCs w:val="32"/>
        </w:rPr>
        <w:t>本着自愿合作的原则，根据</w:t>
      </w:r>
      <w:r>
        <w:rPr>
          <w:rFonts w:eastAsia="仿宋_GB2312"/>
          <w:color w:val="auto"/>
          <w:kern w:val="0"/>
          <w:sz w:val="32"/>
          <w:szCs w:val="32"/>
          <w:lang w:eastAsia="zh-Hans"/>
        </w:rPr>
        <w:t>各</w:t>
      </w:r>
      <w:r>
        <w:rPr>
          <w:rFonts w:eastAsia="仿宋_GB2312"/>
          <w:color w:val="auto"/>
          <w:kern w:val="0"/>
          <w:sz w:val="32"/>
          <w:szCs w:val="32"/>
        </w:rPr>
        <w:t>医院</w:t>
      </w:r>
      <w:r>
        <w:rPr>
          <w:rFonts w:hint="eastAsia" w:eastAsia="仿宋_GB2312"/>
          <w:color w:val="auto"/>
          <w:kern w:val="0"/>
          <w:sz w:val="32"/>
          <w:szCs w:val="32"/>
        </w:rPr>
        <w:t>2024</w:t>
      </w:r>
      <w:r>
        <w:rPr>
          <w:rFonts w:eastAsia="仿宋_GB2312"/>
          <w:color w:val="auto"/>
          <w:kern w:val="0"/>
          <w:sz w:val="32"/>
          <w:szCs w:val="32"/>
        </w:rPr>
        <w:t>年度科研预算安排，向</w:t>
      </w:r>
      <w:r>
        <w:rPr>
          <w:rFonts w:hint="eastAsia" w:eastAsia="仿宋_GB2312"/>
          <w:color w:val="auto"/>
          <w:kern w:val="0"/>
          <w:sz w:val="32"/>
          <w:szCs w:val="32"/>
          <w:lang w:val="en-US" w:eastAsia="zh-CN"/>
        </w:rPr>
        <w:t>甲方</w:t>
      </w:r>
      <w:r>
        <w:rPr>
          <w:rFonts w:eastAsia="仿宋_GB2312"/>
          <w:color w:val="auto"/>
          <w:kern w:val="0"/>
          <w:sz w:val="32"/>
          <w:szCs w:val="32"/>
          <w:lang w:eastAsia="zh-Hans"/>
        </w:rPr>
        <w:t>提出科研</w:t>
      </w:r>
      <w:r>
        <w:rPr>
          <w:rFonts w:eastAsia="仿宋_GB2312"/>
          <w:color w:val="auto"/>
          <w:kern w:val="0"/>
          <w:sz w:val="32"/>
          <w:szCs w:val="32"/>
        </w:rPr>
        <w:t>联合基金出资额度（以万元为单位，三级医院100万元为起点，二级医院10万元为起点，上不封顶）。</w:t>
      </w:r>
    </w:p>
    <w:p w14:paraId="36BB49B8">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lang w:val="en-US" w:eastAsia="zh-CN"/>
        </w:rPr>
        <w:t>.甲方</w:t>
      </w:r>
      <w:r>
        <w:rPr>
          <w:rFonts w:eastAsia="仿宋_GB2312"/>
          <w:color w:val="auto"/>
          <w:kern w:val="0"/>
          <w:sz w:val="32"/>
          <w:szCs w:val="32"/>
        </w:rPr>
        <w:t>收到资金后，列入公立医院</w:t>
      </w:r>
      <w:r>
        <w:rPr>
          <w:rFonts w:eastAsia="仿宋_GB2312"/>
          <w:color w:val="auto"/>
          <w:kern w:val="0"/>
          <w:sz w:val="32"/>
          <w:szCs w:val="32"/>
          <w:lang w:eastAsia="zh-Hans"/>
        </w:rPr>
        <w:t>科研</w:t>
      </w:r>
      <w:r>
        <w:rPr>
          <w:rFonts w:eastAsia="仿宋_GB2312"/>
          <w:color w:val="auto"/>
          <w:kern w:val="0"/>
          <w:sz w:val="32"/>
          <w:szCs w:val="32"/>
        </w:rPr>
        <w:t>联合基金专项进行管理，专款专用、谁出资谁使用。</w:t>
      </w:r>
    </w:p>
    <w:p w14:paraId="1B317CB6">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3</w:t>
      </w:r>
      <w:r>
        <w:rPr>
          <w:rFonts w:hint="eastAsia" w:eastAsia="仿宋_GB2312"/>
          <w:color w:val="auto"/>
          <w:kern w:val="0"/>
          <w:sz w:val="32"/>
          <w:szCs w:val="32"/>
          <w:lang w:val="en-US" w:eastAsia="zh-CN"/>
        </w:rPr>
        <w:t>.乙方</w:t>
      </w:r>
      <w:r>
        <w:rPr>
          <w:rFonts w:eastAsia="仿宋_GB2312"/>
          <w:color w:val="auto"/>
          <w:kern w:val="0"/>
          <w:sz w:val="32"/>
          <w:szCs w:val="32"/>
        </w:rPr>
        <w:t>拟定申报的科研联合基金项目，可依据临床需求性基础研究、临床前沿技术开发与应用、科技成果转化与推广</w:t>
      </w:r>
      <w:r>
        <w:rPr>
          <w:rFonts w:hint="eastAsia" w:eastAsia="仿宋_GB2312"/>
          <w:color w:val="auto"/>
          <w:kern w:val="0"/>
          <w:sz w:val="32"/>
          <w:szCs w:val="32"/>
          <w:lang w:val="en-US" w:eastAsia="zh-CN"/>
        </w:rPr>
        <w:t>及</w:t>
      </w:r>
      <w:r>
        <w:rPr>
          <w:rFonts w:eastAsia="仿宋_GB2312"/>
          <w:color w:val="auto"/>
          <w:kern w:val="0"/>
          <w:sz w:val="32"/>
          <w:szCs w:val="32"/>
        </w:rPr>
        <w:t>卫生健康政策与管理研究四个指南进行申报，比例不限。</w:t>
      </w:r>
    </w:p>
    <w:p w14:paraId="29A127A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4</w:t>
      </w:r>
      <w:r>
        <w:rPr>
          <w:rFonts w:hint="eastAsia" w:eastAsia="仿宋_GB2312"/>
          <w:color w:val="auto"/>
          <w:kern w:val="0"/>
          <w:sz w:val="32"/>
          <w:szCs w:val="32"/>
          <w:lang w:val="en-US" w:eastAsia="zh-CN"/>
        </w:rPr>
        <w:t>.乙方</w:t>
      </w:r>
      <w:r>
        <w:rPr>
          <w:rFonts w:eastAsia="仿宋_GB2312"/>
          <w:color w:val="auto"/>
          <w:kern w:val="0"/>
          <w:sz w:val="32"/>
          <w:szCs w:val="32"/>
        </w:rPr>
        <w:t>拟定申报的科研联合基金项目类型，可依据指南分为重大项目、重点项目、青年项目</w:t>
      </w:r>
      <w:r>
        <w:rPr>
          <w:rFonts w:hint="eastAsia" w:eastAsia="仿宋_GB2312"/>
          <w:color w:val="auto"/>
          <w:kern w:val="0"/>
          <w:sz w:val="32"/>
          <w:szCs w:val="32"/>
          <w:lang w:val="en-US" w:eastAsia="zh-CN"/>
        </w:rPr>
        <w:t>及</w:t>
      </w:r>
      <w:r>
        <w:rPr>
          <w:rFonts w:eastAsia="仿宋_GB2312"/>
          <w:color w:val="auto"/>
          <w:kern w:val="0"/>
          <w:sz w:val="32"/>
          <w:szCs w:val="32"/>
        </w:rPr>
        <w:t>一般项目进行申报，比例不限。</w:t>
      </w:r>
    </w:p>
    <w:p w14:paraId="6CCEC39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5</w:t>
      </w:r>
      <w:r>
        <w:rPr>
          <w:rFonts w:hint="eastAsia" w:eastAsia="仿宋_GB2312"/>
          <w:color w:val="auto"/>
          <w:kern w:val="0"/>
          <w:sz w:val="32"/>
          <w:szCs w:val="32"/>
          <w:lang w:val="en-US" w:eastAsia="zh-CN"/>
        </w:rPr>
        <w:t>.</w:t>
      </w:r>
      <w:r>
        <w:rPr>
          <w:rFonts w:eastAsia="仿宋_GB2312"/>
          <w:color w:val="auto"/>
          <w:kern w:val="0"/>
          <w:sz w:val="32"/>
          <w:szCs w:val="32"/>
          <w:lang w:eastAsia="zh-Hans"/>
        </w:rPr>
        <w:t>如</w:t>
      </w:r>
      <w:r>
        <w:rPr>
          <w:rFonts w:hint="eastAsia" w:eastAsia="仿宋_GB2312"/>
          <w:color w:val="auto"/>
          <w:kern w:val="0"/>
          <w:sz w:val="32"/>
          <w:szCs w:val="32"/>
          <w:lang w:val="en-US" w:eastAsia="zh-CN"/>
        </w:rPr>
        <w:t>乙方</w:t>
      </w:r>
      <w:r>
        <w:rPr>
          <w:rFonts w:eastAsia="仿宋_GB2312"/>
          <w:color w:val="auto"/>
          <w:kern w:val="0"/>
          <w:sz w:val="32"/>
          <w:szCs w:val="32"/>
        </w:rPr>
        <w:t>拟定申报的科研联合基金项目为合作开展的多中心研究项目，申报基金由牵头单位提出总额度，各中心所属的公立医院</w:t>
      </w:r>
      <w:r>
        <w:rPr>
          <w:rFonts w:eastAsia="仿宋_GB2312"/>
          <w:color w:val="auto"/>
          <w:kern w:val="0"/>
          <w:sz w:val="32"/>
          <w:szCs w:val="32"/>
          <w:lang w:eastAsia="zh-Hans"/>
        </w:rPr>
        <w:t>依据</w:t>
      </w:r>
      <w:r>
        <w:rPr>
          <w:rFonts w:eastAsia="仿宋_GB2312"/>
          <w:color w:val="auto"/>
          <w:kern w:val="0"/>
          <w:sz w:val="32"/>
          <w:szCs w:val="32"/>
        </w:rPr>
        <w:t>申报情况</w:t>
      </w:r>
      <w:r>
        <w:rPr>
          <w:rFonts w:eastAsia="仿宋_GB2312"/>
          <w:color w:val="auto"/>
          <w:kern w:val="0"/>
          <w:sz w:val="32"/>
          <w:szCs w:val="32"/>
          <w:lang w:eastAsia="zh-Hans"/>
        </w:rPr>
        <w:t>按</w:t>
      </w:r>
      <w:r>
        <w:rPr>
          <w:rFonts w:eastAsia="仿宋_GB2312"/>
          <w:color w:val="auto"/>
          <w:kern w:val="0"/>
          <w:sz w:val="32"/>
          <w:szCs w:val="32"/>
        </w:rPr>
        <w:t>比例分担。</w:t>
      </w:r>
    </w:p>
    <w:p w14:paraId="21A9F9E4">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6</w:t>
      </w:r>
      <w:r>
        <w:rPr>
          <w:rFonts w:hint="eastAsia" w:eastAsia="仿宋_GB2312"/>
          <w:color w:val="auto"/>
          <w:kern w:val="0"/>
          <w:sz w:val="32"/>
          <w:szCs w:val="32"/>
          <w:lang w:val="en-US" w:eastAsia="zh-CN"/>
        </w:rPr>
        <w:t>.</w:t>
      </w:r>
      <w:r>
        <w:rPr>
          <w:rFonts w:eastAsia="仿宋_GB2312"/>
          <w:color w:val="auto"/>
          <w:kern w:val="0"/>
          <w:sz w:val="32"/>
          <w:szCs w:val="32"/>
          <w:lang w:eastAsia="zh-Hans"/>
        </w:rPr>
        <w:t>如</w:t>
      </w:r>
      <w:r>
        <w:rPr>
          <w:rFonts w:hint="eastAsia" w:eastAsia="仿宋_GB2312"/>
          <w:color w:val="auto"/>
          <w:kern w:val="0"/>
          <w:sz w:val="32"/>
          <w:szCs w:val="32"/>
          <w:lang w:val="en-US" w:eastAsia="zh-CN"/>
        </w:rPr>
        <w:t>乙方</w:t>
      </w:r>
      <w:r>
        <w:rPr>
          <w:rFonts w:eastAsia="仿宋_GB2312"/>
          <w:color w:val="auto"/>
          <w:kern w:val="0"/>
          <w:sz w:val="32"/>
          <w:szCs w:val="32"/>
        </w:rPr>
        <w:t>拟定申报的科研联合基金项目为包含子课题</w:t>
      </w:r>
      <w:r>
        <w:rPr>
          <w:rFonts w:eastAsia="仿宋_GB2312"/>
          <w:color w:val="auto"/>
          <w:kern w:val="0"/>
          <w:sz w:val="32"/>
          <w:szCs w:val="32"/>
          <w:lang w:eastAsia="zh-Hans"/>
        </w:rPr>
        <w:t>的</w:t>
      </w:r>
      <w:r>
        <w:rPr>
          <w:rFonts w:eastAsia="仿宋_GB2312"/>
          <w:color w:val="auto"/>
          <w:kern w:val="0"/>
          <w:sz w:val="32"/>
          <w:szCs w:val="32"/>
        </w:rPr>
        <w:t>研究项目，申报基金由课题牵头单位提出总额度，各课题所属的公立医院</w:t>
      </w:r>
      <w:r>
        <w:rPr>
          <w:rFonts w:eastAsia="仿宋_GB2312"/>
          <w:color w:val="auto"/>
          <w:kern w:val="0"/>
          <w:sz w:val="32"/>
          <w:szCs w:val="32"/>
          <w:lang w:eastAsia="zh-Hans"/>
        </w:rPr>
        <w:t>依据</w:t>
      </w:r>
      <w:r>
        <w:rPr>
          <w:rFonts w:eastAsia="仿宋_GB2312"/>
          <w:color w:val="auto"/>
          <w:kern w:val="0"/>
          <w:sz w:val="32"/>
          <w:szCs w:val="32"/>
        </w:rPr>
        <w:t>申报情况</w:t>
      </w:r>
      <w:r>
        <w:rPr>
          <w:rFonts w:eastAsia="仿宋_GB2312"/>
          <w:color w:val="auto"/>
          <w:kern w:val="0"/>
          <w:sz w:val="32"/>
          <w:szCs w:val="32"/>
          <w:lang w:eastAsia="zh-Hans"/>
        </w:rPr>
        <w:t>按</w:t>
      </w:r>
      <w:r>
        <w:rPr>
          <w:rFonts w:eastAsia="仿宋_GB2312"/>
          <w:color w:val="auto"/>
          <w:kern w:val="0"/>
          <w:sz w:val="32"/>
          <w:szCs w:val="32"/>
        </w:rPr>
        <w:t>比例分担。</w:t>
      </w:r>
    </w:p>
    <w:p w14:paraId="1A940AD0">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7</w:t>
      </w:r>
      <w:r>
        <w:rPr>
          <w:rFonts w:hint="eastAsia" w:eastAsia="仿宋_GB2312"/>
          <w:color w:val="auto"/>
          <w:kern w:val="0"/>
          <w:sz w:val="32"/>
          <w:szCs w:val="32"/>
          <w:lang w:val="en-US" w:eastAsia="zh-CN"/>
        </w:rPr>
        <w:t>.乙方</w:t>
      </w:r>
      <w:r>
        <w:rPr>
          <w:rFonts w:eastAsia="仿宋_GB2312"/>
          <w:color w:val="auto"/>
          <w:kern w:val="0"/>
          <w:sz w:val="32"/>
          <w:szCs w:val="32"/>
        </w:rPr>
        <w:t>拟定申报的科研联合基金项目预算总额</w:t>
      </w:r>
      <w:r>
        <w:rPr>
          <w:rFonts w:hint="eastAsia" w:eastAsia="仿宋_GB2312"/>
          <w:color w:val="auto"/>
          <w:kern w:val="0"/>
          <w:sz w:val="32"/>
          <w:szCs w:val="32"/>
        </w:rPr>
        <w:t>不超过</w:t>
      </w:r>
      <w:r>
        <w:rPr>
          <w:rFonts w:eastAsia="仿宋_GB2312"/>
          <w:color w:val="auto"/>
          <w:kern w:val="0"/>
          <w:sz w:val="32"/>
          <w:szCs w:val="32"/>
        </w:rPr>
        <w:t>出资额度的150%</w:t>
      </w:r>
      <w:r>
        <w:rPr>
          <w:rFonts w:hint="eastAsia" w:eastAsia="仿宋_GB2312"/>
          <w:color w:val="auto"/>
          <w:kern w:val="0"/>
          <w:sz w:val="32"/>
          <w:szCs w:val="32"/>
          <w:lang w:eastAsia="zh-CN"/>
        </w:rPr>
        <w:t>，</w:t>
      </w:r>
      <w:r>
        <w:rPr>
          <w:rFonts w:eastAsia="仿宋_GB2312"/>
          <w:color w:val="auto"/>
          <w:kern w:val="0"/>
          <w:sz w:val="32"/>
          <w:szCs w:val="32"/>
        </w:rPr>
        <w:t>以备</w:t>
      </w:r>
      <w:r>
        <w:rPr>
          <w:rFonts w:hint="eastAsia" w:eastAsia="仿宋_GB2312"/>
          <w:color w:val="auto"/>
          <w:kern w:val="0"/>
          <w:sz w:val="32"/>
          <w:szCs w:val="32"/>
          <w:lang w:val="en-US" w:eastAsia="zh-CN"/>
        </w:rPr>
        <w:t>甲方</w:t>
      </w:r>
      <w:r>
        <w:rPr>
          <w:rFonts w:eastAsia="仿宋_GB2312"/>
          <w:color w:val="auto"/>
          <w:kern w:val="0"/>
          <w:sz w:val="32"/>
          <w:szCs w:val="32"/>
        </w:rPr>
        <w:t>择优评定。</w:t>
      </w:r>
    </w:p>
    <w:p w14:paraId="788276A2">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8.甲方</w:t>
      </w:r>
      <w:r>
        <w:rPr>
          <w:rFonts w:hint="eastAsia" w:eastAsia="仿宋_GB2312"/>
          <w:color w:val="auto"/>
          <w:kern w:val="0"/>
          <w:sz w:val="32"/>
          <w:szCs w:val="32"/>
        </w:rPr>
        <w:t>负责联合基金申请的受理、组织评审、协助批复立项、项目管理、结题验收等工作，不收取相关管理费用。</w:t>
      </w:r>
    </w:p>
    <w:p w14:paraId="18BC63F2">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三、</w:t>
      </w:r>
      <w:r>
        <w:rPr>
          <w:rFonts w:hint="eastAsia" w:ascii="Times New Roman" w:hAnsi="Times New Roman" w:eastAsia="黑体" w:cs="Times New Roman"/>
          <w:b w:val="0"/>
          <w:bCs/>
          <w:color w:val="auto"/>
          <w:sz w:val="32"/>
          <w:szCs w:val="32"/>
        </w:rPr>
        <w:t>合作期限</w:t>
      </w:r>
    </w:p>
    <w:p w14:paraId="53B20712">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Cs/>
          <w:color w:val="auto"/>
          <w:kern w:val="2"/>
          <w:sz w:val="32"/>
          <w:szCs w:val="32"/>
        </w:rPr>
      </w:pPr>
      <w:r>
        <w:rPr>
          <w:rFonts w:hint="eastAsia" w:eastAsia="仿宋_GB2312"/>
          <w:color w:val="auto"/>
          <w:kern w:val="0"/>
          <w:sz w:val="32"/>
          <w:szCs w:val="32"/>
          <w:lang w:val="en-US" w:eastAsia="zh-CN"/>
        </w:rPr>
        <w:t>本协议所称合作年度为2024年度，合作周期与项目科研周期一致，项目科研周期原则上以3年为限，从本协议生效之日起计算。</w:t>
      </w:r>
    </w:p>
    <w:p w14:paraId="09BE5AE0">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四、</w:t>
      </w:r>
      <w:r>
        <w:rPr>
          <w:rFonts w:ascii="Times New Roman" w:hAnsi="Times New Roman" w:eastAsia="黑体" w:cs="Times New Roman"/>
          <w:b w:val="0"/>
          <w:bCs/>
          <w:color w:val="auto"/>
          <w:sz w:val="32"/>
          <w:szCs w:val="32"/>
          <w:lang w:eastAsia="zh-Hans"/>
        </w:rPr>
        <w:t>基金</w:t>
      </w:r>
      <w:r>
        <w:rPr>
          <w:rFonts w:ascii="Times New Roman" w:hAnsi="Times New Roman" w:eastAsia="黑体" w:cs="Times New Roman"/>
          <w:b w:val="0"/>
          <w:bCs/>
          <w:color w:val="auto"/>
          <w:sz w:val="32"/>
          <w:szCs w:val="32"/>
        </w:rPr>
        <w:t>管理</w:t>
      </w:r>
    </w:p>
    <w:p w14:paraId="4C2500C4">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1.甲乙双方签订合作协议后的20个工作日内，由乙方向甲方指定账户注入资金</w:t>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softHyphen/>
      </w:r>
      <w:r>
        <w:rPr>
          <w:rFonts w:hint="eastAsia" w:eastAsia="仿宋_GB2312"/>
          <w:color w:val="auto"/>
          <w:kern w:val="0"/>
          <w:sz w:val="32"/>
          <w:szCs w:val="32"/>
          <w:u w:val="none"/>
          <w:lang w:val="en-US" w:eastAsia="zh-CN"/>
        </w:rPr>
        <w:t xml:space="preserve"> </w:t>
      </w:r>
      <w:r>
        <w:rPr>
          <w:rFonts w:hint="default" w:ascii="Arial" w:hAnsi="Arial" w:eastAsia="仿宋_GB2312" w:cs="Arial"/>
          <w:color w:val="auto"/>
          <w:kern w:val="0"/>
          <w:sz w:val="32"/>
          <w:szCs w:val="32"/>
          <w:lang w:val="en-US" w:eastAsia="zh-CN"/>
        </w:rPr>
        <w:t>¥</w:t>
      </w:r>
      <w:r>
        <w:rPr>
          <w:rFonts w:hint="eastAsia" w:eastAsia="仿宋_GB2312"/>
          <w:color w:val="auto"/>
          <w:kern w:val="0"/>
          <w:sz w:val="32"/>
          <w:szCs w:val="32"/>
          <w:u w:val="single"/>
          <w:lang w:val="en-US" w:eastAsia="zh-CN"/>
        </w:rPr>
        <w:t xml:space="preserve">          </w:t>
      </w:r>
      <w:r>
        <w:rPr>
          <w:rFonts w:hint="eastAsia" w:eastAsia="仿宋_GB2312"/>
          <w:color w:val="auto"/>
          <w:kern w:val="0"/>
          <w:sz w:val="32"/>
          <w:szCs w:val="32"/>
          <w:lang w:val="en-US" w:eastAsia="zh-CN"/>
        </w:rPr>
        <w:t xml:space="preserve">（大写： </w:t>
      </w:r>
      <w:r>
        <w:rPr>
          <w:rFonts w:hint="eastAsia" w:eastAsia="仿宋_GB2312"/>
          <w:color w:val="auto"/>
          <w:kern w:val="0"/>
          <w:sz w:val="32"/>
          <w:szCs w:val="32"/>
          <w:u w:val="single"/>
          <w:lang w:val="en-US" w:eastAsia="zh-CN"/>
        </w:rPr>
        <w:t xml:space="preserve">人民币        </w:t>
      </w:r>
      <w:r>
        <w:rPr>
          <w:rFonts w:hint="eastAsia" w:eastAsia="仿宋_GB2312"/>
          <w:color w:val="auto"/>
          <w:kern w:val="0"/>
          <w:sz w:val="32"/>
          <w:szCs w:val="32"/>
          <w:lang w:val="en-US" w:eastAsia="zh-CN"/>
        </w:rPr>
        <w:t>）用于《内蒙古医学科学院公立医院科研联合基金项目》。</w:t>
      </w:r>
    </w:p>
    <w:p w14:paraId="4F04DCA8">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2.甲方根据评审结果立项，将项目经费一次性拨付。</w:t>
      </w:r>
    </w:p>
    <w:p w14:paraId="64BE8F9C">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3.甲方拨付的科研经费上限以乙方注入资金为限。基金的使用与管理参见《</w:t>
      </w:r>
      <w:r>
        <w:rPr>
          <w:rFonts w:hint="eastAsia" w:eastAsia="仿宋_GB2312"/>
          <w:color w:val="auto"/>
          <w:kern w:val="0"/>
          <w:sz w:val="32"/>
          <w:szCs w:val="32"/>
          <w:lang w:val="en-US" w:eastAsia="zh-Hans"/>
        </w:rPr>
        <w:t>内蒙古医学科学院</w:t>
      </w:r>
      <w:r>
        <w:rPr>
          <w:rFonts w:hint="eastAsia" w:eastAsia="仿宋_GB2312"/>
          <w:color w:val="auto"/>
          <w:kern w:val="0"/>
          <w:sz w:val="32"/>
          <w:szCs w:val="32"/>
          <w:lang w:val="en-US" w:eastAsia="zh-CN"/>
        </w:rPr>
        <w:t>公立医院科研联合基金管理办法</w:t>
      </w:r>
      <w:r>
        <w:rPr>
          <w:rFonts w:hint="default" w:eastAsia="仿宋_GB2312"/>
          <w:color w:val="auto"/>
          <w:kern w:val="0"/>
          <w:sz w:val="32"/>
          <w:szCs w:val="32"/>
          <w:lang w:val="en-US" w:eastAsia="zh-CN"/>
        </w:rPr>
        <w:t>（</w:t>
      </w:r>
      <w:r>
        <w:rPr>
          <w:rFonts w:hint="default" w:eastAsia="仿宋_GB2312"/>
          <w:color w:val="auto"/>
          <w:kern w:val="0"/>
          <w:sz w:val="32"/>
          <w:szCs w:val="32"/>
          <w:lang w:val="en-US" w:eastAsia="zh-Hans"/>
        </w:rPr>
        <w:t>试行</w:t>
      </w:r>
      <w:r>
        <w:rPr>
          <w:rFonts w:hint="default" w:eastAsia="仿宋_GB2312"/>
          <w:color w:val="auto"/>
          <w:kern w:val="0"/>
          <w:sz w:val="32"/>
          <w:szCs w:val="32"/>
          <w:lang w:val="en-US" w:eastAsia="zh-CN"/>
        </w:rPr>
        <w:t>）》</w:t>
      </w:r>
      <w:r>
        <w:rPr>
          <w:rFonts w:hint="eastAsia" w:eastAsia="仿宋_GB2312"/>
          <w:color w:val="auto"/>
          <w:kern w:val="0"/>
          <w:sz w:val="32"/>
          <w:szCs w:val="32"/>
          <w:lang w:val="en-US" w:eastAsia="zh-CN"/>
        </w:rPr>
        <w:t>。</w:t>
      </w:r>
    </w:p>
    <w:p w14:paraId="358CA991">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4.本合作年度乙方除已立项科研项目尚有结余资金或无获批科研项目的，甲方在自治区卫健委立项审批完成后，可征求乙方意愿，将该资金原路返回乙方账户或继续留在医科院基金池中以备下一年度项目使用。</w:t>
      </w:r>
    </w:p>
    <w:p w14:paraId="0770E4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五、</w:t>
      </w:r>
      <w:r>
        <w:rPr>
          <w:rFonts w:ascii="Times New Roman" w:hAnsi="Times New Roman" w:eastAsia="黑体" w:cs="Times New Roman"/>
          <w:b w:val="0"/>
          <w:bCs/>
          <w:color w:val="auto"/>
          <w:sz w:val="32"/>
          <w:szCs w:val="32"/>
        </w:rPr>
        <w:t>相关责任</w:t>
      </w:r>
    </w:p>
    <w:p w14:paraId="1568C322">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1.乙方应对其提供的单位及人员信息真实性负责，并符合相应管理规定。如提供虚假信息导致项目申请失败，乙方承担全部责任。</w:t>
      </w:r>
    </w:p>
    <w:p w14:paraId="22A53384">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2.乙方不得因申请其他项目而单方面终止正在进行中的项目申请，否则甲方有权追究乙方的相应责任，乙方应赔偿甲方的相关经济损失。</w:t>
      </w:r>
    </w:p>
    <w:p w14:paraId="0DD6BCC4">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3.乙方未按约定注入资金的，承担无法申报科研项目的后果。</w:t>
      </w:r>
    </w:p>
    <w:p w14:paraId="62CF3EA6">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4.乙方因不可抗力不能继续履行</w:t>
      </w:r>
      <w:r>
        <w:rPr>
          <w:rFonts w:hint="eastAsia" w:eastAsia="仿宋_GB2312"/>
          <w:color w:val="auto"/>
          <w:kern w:val="0"/>
          <w:sz w:val="32"/>
          <w:szCs w:val="32"/>
          <w:lang w:val="en-US" w:eastAsia="zh-Hans"/>
        </w:rPr>
        <w:t>合作业务</w:t>
      </w:r>
      <w:r>
        <w:rPr>
          <w:rFonts w:hint="eastAsia" w:eastAsia="仿宋_GB2312"/>
          <w:color w:val="auto"/>
          <w:kern w:val="0"/>
          <w:sz w:val="32"/>
          <w:szCs w:val="32"/>
          <w:lang w:val="en-US" w:eastAsia="zh-CN"/>
        </w:rPr>
        <w:t>时，可以免除违约责任，但应在不可抗力事项发生5日内书面通知甲方，并在合理期间内出具不可抗力导致协议不能履行的证明。</w:t>
      </w:r>
    </w:p>
    <w:p w14:paraId="4491F18F">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5.在出现不可抗力的情况下，各方均应采取适当措施减轻损失。任何一方因未采取措施或采取措施不当导致损失扩大的，应当对扩大的损失承担责任。</w:t>
      </w:r>
    </w:p>
    <w:p w14:paraId="4DB1C017">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六、</w:t>
      </w:r>
      <w:r>
        <w:rPr>
          <w:rFonts w:ascii="Times New Roman" w:hAnsi="Times New Roman" w:eastAsia="黑体" w:cs="Times New Roman"/>
          <w:b w:val="0"/>
          <w:bCs/>
          <w:color w:val="auto"/>
          <w:sz w:val="32"/>
          <w:szCs w:val="32"/>
        </w:rPr>
        <w:t>其它说明</w:t>
      </w:r>
    </w:p>
    <w:p w14:paraId="3FFBA96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1.在申请过程中发生争议，双方应当协商解决。各方不愿协商、调解解决或者协商、调解不成的，各方均可向甲方所在地法院提起诉讼。</w:t>
      </w:r>
    </w:p>
    <w:p w14:paraId="1BF3CE9D">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2.对合同未尽事宜，双方应本着互惠互利、友好协商的原则另行协商约定。</w:t>
      </w:r>
    </w:p>
    <w:p w14:paraId="2ED770EE">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3.与本协议相关的附件、备忘录等与本协议拥有同等的法律效力。</w:t>
      </w:r>
    </w:p>
    <w:p w14:paraId="61781473">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Hans"/>
        </w:rPr>
      </w:pPr>
      <w:r>
        <w:rPr>
          <w:rFonts w:hint="eastAsia" w:eastAsia="仿宋_GB2312"/>
          <w:color w:val="auto"/>
          <w:kern w:val="0"/>
          <w:sz w:val="32"/>
          <w:szCs w:val="32"/>
          <w:lang w:val="en-US" w:eastAsia="zh-CN"/>
        </w:rPr>
        <w:t>4.本协议自双方负责人签字、加盖单位公章之日起生效。若项目获得批准立项，双方应在本协议基础上另行签订项目/子课题任务（合同）书，对执行过程中的权利义务进行更加全面的约定。</w:t>
      </w:r>
    </w:p>
    <w:p w14:paraId="2911D1E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本协议一式四份，双方各执两份，均具有同等法律效力。</w:t>
      </w:r>
    </w:p>
    <w:p w14:paraId="1070C2C0">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kern w:val="0"/>
          <w:sz w:val="32"/>
          <w:szCs w:val="32"/>
          <w:lang w:val="en-US" w:eastAsia="zh-CN"/>
        </w:rPr>
      </w:pPr>
    </w:p>
    <w:tbl>
      <w:tblPr>
        <w:tblStyle w:val="8"/>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3887"/>
        <w:gridCol w:w="1120"/>
        <w:gridCol w:w="3633"/>
      </w:tblGrid>
      <w:tr w14:paraId="0555D3D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3887" w:type="dxa"/>
            <w:tcBorders>
              <w:top w:val="nil"/>
              <w:left w:val="nil"/>
              <w:bottom w:val="nil"/>
              <w:right w:val="nil"/>
            </w:tcBorders>
            <w:shd w:val="clear" w:color="auto" w:fill="auto"/>
          </w:tcPr>
          <w:p w14:paraId="4E550934">
            <w:pPr>
              <w:pStyle w:val="7"/>
              <w:widowControl/>
              <w:spacing w:beforeAutospacing="0" w:after="0" w:afterAutospacing="0" w:line="27" w:lineRule="atLeast"/>
              <w:rPr>
                <w:rFonts w:eastAsia="仿宋_GB2312"/>
                <w:color w:val="auto"/>
              </w:rPr>
            </w:pPr>
            <w:r>
              <w:rPr>
                <w:rFonts w:eastAsia="仿宋_GB2312"/>
                <w:color w:val="auto"/>
              </w:rPr>
              <w:t>甲方（公章）：内蒙古医学科学院</w:t>
            </w:r>
          </w:p>
        </w:tc>
        <w:tc>
          <w:tcPr>
            <w:tcW w:w="1120" w:type="dxa"/>
            <w:tcBorders>
              <w:top w:val="nil"/>
              <w:left w:val="nil"/>
              <w:bottom w:val="nil"/>
              <w:right w:val="nil"/>
            </w:tcBorders>
            <w:shd w:val="clear" w:color="auto" w:fill="auto"/>
          </w:tcPr>
          <w:p w14:paraId="48F2D691">
            <w:pPr>
              <w:pStyle w:val="7"/>
              <w:widowControl/>
              <w:spacing w:beforeAutospacing="0" w:after="0" w:afterAutospacing="0" w:line="27" w:lineRule="atLeast"/>
              <w:jc w:val="center"/>
              <w:rPr>
                <w:color w:val="auto"/>
              </w:rPr>
            </w:pPr>
            <w:r>
              <w:rPr>
                <w:rFonts w:eastAsia="-webkit-standard"/>
                <w:color w:val="auto"/>
              </w:rPr>
              <w:t> </w:t>
            </w:r>
          </w:p>
        </w:tc>
        <w:tc>
          <w:tcPr>
            <w:tcW w:w="3633" w:type="dxa"/>
            <w:tcBorders>
              <w:top w:val="nil"/>
              <w:left w:val="nil"/>
              <w:bottom w:val="nil"/>
              <w:right w:val="nil"/>
            </w:tcBorders>
            <w:shd w:val="clear" w:color="auto" w:fill="auto"/>
          </w:tcPr>
          <w:p w14:paraId="25840C9F">
            <w:pPr>
              <w:pStyle w:val="7"/>
              <w:widowControl/>
              <w:spacing w:beforeAutospacing="0" w:after="0" w:afterAutospacing="0" w:line="27" w:lineRule="atLeast"/>
              <w:rPr>
                <w:color w:val="auto"/>
              </w:rPr>
            </w:pPr>
            <w:r>
              <w:rPr>
                <w:rFonts w:eastAsia="仿宋_GB2312"/>
                <w:color w:val="auto"/>
              </w:rPr>
              <w:t>乙方（公章）：</w:t>
            </w:r>
          </w:p>
        </w:tc>
      </w:tr>
      <w:tr w14:paraId="5DDD19E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887" w:type="dxa"/>
            <w:tcBorders>
              <w:top w:val="nil"/>
              <w:left w:val="nil"/>
              <w:bottom w:val="nil"/>
              <w:right w:val="nil"/>
            </w:tcBorders>
            <w:shd w:val="clear" w:color="auto" w:fill="auto"/>
          </w:tcPr>
          <w:p w14:paraId="5103E82C">
            <w:pPr>
              <w:pStyle w:val="7"/>
              <w:widowControl/>
              <w:spacing w:beforeAutospacing="0" w:after="0" w:afterAutospacing="0" w:line="27" w:lineRule="atLeast"/>
              <w:rPr>
                <w:color w:val="auto"/>
              </w:rPr>
            </w:pPr>
          </w:p>
        </w:tc>
        <w:tc>
          <w:tcPr>
            <w:tcW w:w="1120" w:type="dxa"/>
            <w:tcBorders>
              <w:top w:val="nil"/>
              <w:left w:val="nil"/>
              <w:bottom w:val="nil"/>
              <w:right w:val="nil"/>
            </w:tcBorders>
            <w:shd w:val="clear" w:color="auto" w:fill="auto"/>
          </w:tcPr>
          <w:p w14:paraId="5BBC029E">
            <w:pPr>
              <w:pStyle w:val="7"/>
              <w:widowControl/>
              <w:spacing w:beforeAutospacing="0" w:after="0" w:afterAutospacing="0" w:line="27" w:lineRule="atLeast"/>
              <w:jc w:val="center"/>
              <w:rPr>
                <w:color w:val="auto"/>
              </w:rPr>
            </w:pPr>
            <w:r>
              <w:rPr>
                <w:rFonts w:eastAsia="-webkit-standard"/>
                <w:color w:val="auto"/>
              </w:rPr>
              <w:t> </w:t>
            </w:r>
          </w:p>
        </w:tc>
        <w:tc>
          <w:tcPr>
            <w:tcW w:w="3633" w:type="dxa"/>
            <w:tcBorders>
              <w:top w:val="nil"/>
              <w:left w:val="nil"/>
              <w:bottom w:val="nil"/>
              <w:right w:val="nil"/>
            </w:tcBorders>
            <w:shd w:val="clear" w:color="auto" w:fill="auto"/>
          </w:tcPr>
          <w:p w14:paraId="5A53D149">
            <w:pPr>
              <w:pStyle w:val="7"/>
              <w:widowControl/>
              <w:spacing w:beforeAutospacing="0" w:after="0" w:afterAutospacing="0" w:line="27" w:lineRule="atLeast"/>
              <w:rPr>
                <w:color w:val="auto"/>
              </w:rPr>
            </w:pPr>
          </w:p>
        </w:tc>
      </w:tr>
      <w:tr w14:paraId="083CA33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887" w:type="dxa"/>
            <w:tcBorders>
              <w:top w:val="nil"/>
              <w:left w:val="nil"/>
              <w:bottom w:val="nil"/>
              <w:right w:val="nil"/>
            </w:tcBorders>
            <w:shd w:val="clear" w:color="auto" w:fill="auto"/>
          </w:tcPr>
          <w:p w14:paraId="342B6AF8">
            <w:pPr>
              <w:pStyle w:val="7"/>
              <w:widowControl/>
              <w:spacing w:beforeAutospacing="0" w:after="0" w:afterAutospacing="0" w:line="27" w:lineRule="atLeast"/>
              <w:rPr>
                <w:rFonts w:eastAsia="仿宋_GB2312"/>
                <w:color w:val="auto"/>
              </w:rPr>
            </w:pPr>
            <w:r>
              <w:rPr>
                <w:rFonts w:eastAsia="仿宋_GB2312"/>
                <w:color w:val="auto"/>
              </w:rPr>
              <w:t>负责人（签字）：</w:t>
            </w:r>
          </w:p>
          <w:p w14:paraId="79FA39A1">
            <w:pPr>
              <w:pStyle w:val="7"/>
              <w:widowControl/>
              <w:spacing w:beforeAutospacing="0" w:after="0" w:afterAutospacing="0" w:line="27" w:lineRule="atLeast"/>
              <w:rPr>
                <w:rFonts w:eastAsia="仿宋_GB2312"/>
                <w:color w:val="auto"/>
              </w:rPr>
            </w:pPr>
          </w:p>
          <w:p w14:paraId="1906EBF5">
            <w:pPr>
              <w:pStyle w:val="7"/>
              <w:widowControl/>
              <w:spacing w:beforeAutospacing="0" w:after="0" w:afterAutospacing="0" w:line="27" w:lineRule="atLeast"/>
              <w:rPr>
                <w:rFonts w:eastAsia="仿宋_GB2312"/>
                <w:color w:val="auto"/>
              </w:rPr>
            </w:pPr>
            <w:r>
              <w:rPr>
                <w:rFonts w:eastAsia="仿宋_GB2312"/>
                <w:color w:val="auto"/>
              </w:rPr>
              <w:t>统一社会信用代码</w:t>
            </w:r>
            <w:r>
              <w:rPr>
                <w:rFonts w:hint="eastAsia" w:eastAsia="仿宋_GB2312"/>
                <w:color w:val="auto"/>
              </w:rPr>
              <w:t>：</w:t>
            </w:r>
          </w:p>
          <w:p w14:paraId="11884B57">
            <w:pPr>
              <w:pStyle w:val="7"/>
              <w:widowControl/>
              <w:spacing w:beforeAutospacing="0" w:after="0" w:afterAutospacing="0" w:line="27" w:lineRule="atLeast"/>
              <w:rPr>
                <w:rFonts w:eastAsia="仿宋_GB2312"/>
                <w:color w:val="auto"/>
              </w:rPr>
            </w:pPr>
            <w:r>
              <w:rPr>
                <w:rFonts w:hint="eastAsia" w:eastAsia="仿宋_GB2312"/>
                <w:color w:val="auto"/>
              </w:rPr>
              <w:t>12150000MB1P83218K</w:t>
            </w:r>
          </w:p>
          <w:p w14:paraId="5F758074">
            <w:pPr>
              <w:pStyle w:val="7"/>
              <w:widowControl/>
              <w:spacing w:beforeAutospacing="0" w:after="0" w:afterAutospacing="0" w:line="27" w:lineRule="atLeast"/>
              <w:rPr>
                <w:rFonts w:eastAsia="仿宋_GB2312"/>
                <w:color w:val="auto"/>
              </w:rPr>
            </w:pPr>
            <w:r>
              <w:rPr>
                <w:rFonts w:hint="eastAsia" w:eastAsia="仿宋_GB2312"/>
                <w:color w:val="auto"/>
              </w:rPr>
              <w:t>开户行账号：05510101040020710</w:t>
            </w:r>
          </w:p>
          <w:p w14:paraId="58C0604E">
            <w:pPr>
              <w:pStyle w:val="7"/>
              <w:widowControl/>
              <w:spacing w:beforeAutospacing="0" w:after="0" w:afterAutospacing="0" w:line="27" w:lineRule="atLeast"/>
              <w:rPr>
                <w:rFonts w:eastAsia="仿宋_GB2312"/>
                <w:color w:val="auto"/>
              </w:rPr>
            </w:pPr>
            <w:r>
              <w:rPr>
                <w:rFonts w:hint="eastAsia" w:eastAsia="仿宋_GB2312"/>
                <w:color w:val="auto"/>
              </w:rPr>
              <w:t>开户行全称：</w:t>
            </w:r>
          </w:p>
          <w:p w14:paraId="7BE48E0E">
            <w:pPr>
              <w:pStyle w:val="7"/>
              <w:widowControl/>
              <w:spacing w:beforeAutospacing="0" w:after="0" w:afterAutospacing="0" w:line="27" w:lineRule="atLeast"/>
              <w:rPr>
                <w:rFonts w:eastAsia="仿宋_GB2312"/>
                <w:color w:val="auto"/>
              </w:rPr>
            </w:pPr>
            <w:r>
              <w:rPr>
                <w:rFonts w:eastAsia="仿宋_GB2312"/>
                <w:color w:val="auto"/>
              </w:rPr>
              <w:t>中国农业银行股份有限公司呼和浩特鼓楼支行</w:t>
            </w:r>
          </w:p>
          <w:p w14:paraId="74EACC7E">
            <w:pPr>
              <w:pStyle w:val="7"/>
              <w:widowControl/>
              <w:spacing w:beforeAutospacing="0" w:after="0" w:afterAutospacing="0" w:line="27" w:lineRule="atLeast"/>
              <w:rPr>
                <w:rFonts w:eastAsia="仿宋_GB2312"/>
                <w:color w:val="auto"/>
              </w:rPr>
            </w:pPr>
            <w:r>
              <w:rPr>
                <w:rFonts w:hint="eastAsia" w:eastAsia="仿宋_GB2312"/>
                <w:color w:val="auto"/>
              </w:rPr>
              <w:t>地址：</w:t>
            </w:r>
          </w:p>
          <w:p w14:paraId="595FCBAA">
            <w:pPr>
              <w:pStyle w:val="7"/>
              <w:widowControl/>
              <w:spacing w:beforeAutospacing="0" w:after="0" w:afterAutospacing="0" w:line="27" w:lineRule="atLeast"/>
              <w:rPr>
                <w:rFonts w:eastAsia="仿宋_GB2312"/>
                <w:color w:val="auto"/>
              </w:rPr>
            </w:pPr>
            <w:r>
              <w:rPr>
                <w:rFonts w:hint="eastAsia" w:eastAsia="仿宋_GB2312"/>
                <w:color w:val="auto"/>
              </w:rPr>
              <w:t>内蒙古自治区呼和浩特市赛罕区昭乌达路26号</w:t>
            </w:r>
          </w:p>
        </w:tc>
        <w:tc>
          <w:tcPr>
            <w:tcW w:w="1120" w:type="dxa"/>
            <w:tcBorders>
              <w:top w:val="nil"/>
              <w:left w:val="nil"/>
              <w:bottom w:val="nil"/>
              <w:right w:val="nil"/>
            </w:tcBorders>
            <w:shd w:val="clear" w:color="auto" w:fill="auto"/>
          </w:tcPr>
          <w:p w14:paraId="095270B7">
            <w:pPr>
              <w:pStyle w:val="7"/>
              <w:widowControl/>
              <w:spacing w:beforeAutospacing="0" w:after="0" w:afterAutospacing="0" w:line="27" w:lineRule="atLeast"/>
              <w:jc w:val="center"/>
              <w:rPr>
                <w:color w:val="auto"/>
              </w:rPr>
            </w:pPr>
            <w:r>
              <w:rPr>
                <w:rFonts w:eastAsia="-webkit-standard"/>
                <w:color w:val="auto"/>
              </w:rPr>
              <w:t> </w:t>
            </w:r>
          </w:p>
        </w:tc>
        <w:tc>
          <w:tcPr>
            <w:tcW w:w="3633" w:type="dxa"/>
            <w:tcBorders>
              <w:top w:val="nil"/>
              <w:left w:val="nil"/>
              <w:bottom w:val="nil"/>
              <w:right w:val="nil"/>
            </w:tcBorders>
            <w:shd w:val="clear" w:color="auto" w:fill="auto"/>
          </w:tcPr>
          <w:p w14:paraId="613D09E4">
            <w:pPr>
              <w:pStyle w:val="7"/>
              <w:widowControl/>
              <w:spacing w:beforeAutospacing="0" w:after="0" w:afterAutospacing="0" w:line="27" w:lineRule="atLeast"/>
              <w:rPr>
                <w:rFonts w:eastAsia="仿宋_GB2312"/>
                <w:color w:val="auto"/>
              </w:rPr>
            </w:pPr>
            <w:r>
              <w:rPr>
                <w:rFonts w:eastAsia="仿宋_GB2312"/>
                <w:color w:val="auto"/>
              </w:rPr>
              <w:t>负责人（签字）：</w:t>
            </w:r>
          </w:p>
          <w:p w14:paraId="2162E39D">
            <w:pPr>
              <w:pStyle w:val="7"/>
              <w:widowControl/>
              <w:spacing w:beforeAutospacing="0" w:after="0" w:afterAutospacing="0" w:line="27" w:lineRule="atLeast"/>
              <w:rPr>
                <w:rFonts w:eastAsia="仿宋_GB2312"/>
                <w:color w:val="auto"/>
              </w:rPr>
            </w:pPr>
          </w:p>
          <w:p w14:paraId="5BE91D06">
            <w:pPr>
              <w:pStyle w:val="7"/>
              <w:widowControl/>
              <w:spacing w:beforeAutospacing="0" w:after="0" w:afterAutospacing="0" w:line="27" w:lineRule="atLeast"/>
              <w:rPr>
                <w:rFonts w:eastAsia="仿宋_GB2312"/>
                <w:color w:val="auto"/>
              </w:rPr>
            </w:pPr>
            <w:r>
              <w:rPr>
                <w:rFonts w:eastAsia="仿宋_GB2312"/>
                <w:color w:val="auto"/>
              </w:rPr>
              <w:t>统一社会信用代码</w:t>
            </w:r>
            <w:r>
              <w:rPr>
                <w:rFonts w:hint="eastAsia" w:eastAsia="仿宋_GB2312"/>
                <w:color w:val="auto"/>
              </w:rPr>
              <w:t>：</w:t>
            </w:r>
          </w:p>
          <w:p w14:paraId="64190A20">
            <w:pPr>
              <w:pStyle w:val="7"/>
              <w:widowControl/>
              <w:spacing w:beforeAutospacing="0" w:after="0" w:afterAutospacing="0" w:line="27" w:lineRule="atLeast"/>
              <w:rPr>
                <w:rFonts w:eastAsia="仿宋_GB2312"/>
                <w:color w:val="auto"/>
              </w:rPr>
            </w:pPr>
          </w:p>
          <w:p w14:paraId="65C770A1">
            <w:pPr>
              <w:pStyle w:val="7"/>
              <w:widowControl/>
              <w:spacing w:beforeAutospacing="0" w:after="0" w:afterAutospacing="0" w:line="27" w:lineRule="atLeast"/>
              <w:rPr>
                <w:rFonts w:eastAsia="仿宋_GB2312"/>
                <w:color w:val="auto"/>
              </w:rPr>
            </w:pPr>
            <w:r>
              <w:rPr>
                <w:rFonts w:hint="eastAsia" w:eastAsia="仿宋_GB2312"/>
                <w:color w:val="auto"/>
              </w:rPr>
              <w:t>开户行账号：</w:t>
            </w:r>
          </w:p>
          <w:p w14:paraId="58B55FE5">
            <w:pPr>
              <w:pStyle w:val="7"/>
              <w:widowControl/>
              <w:spacing w:beforeAutospacing="0" w:after="0" w:afterAutospacing="0" w:line="27" w:lineRule="atLeast"/>
              <w:rPr>
                <w:rFonts w:eastAsia="仿宋_GB2312"/>
                <w:color w:val="auto"/>
              </w:rPr>
            </w:pPr>
          </w:p>
          <w:p w14:paraId="734A9D2E">
            <w:pPr>
              <w:pStyle w:val="7"/>
              <w:widowControl/>
              <w:spacing w:beforeAutospacing="0" w:after="0" w:afterAutospacing="0" w:line="27" w:lineRule="atLeast"/>
              <w:rPr>
                <w:rFonts w:eastAsia="仿宋_GB2312"/>
                <w:color w:val="auto"/>
              </w:rPr>
            </w:pPr>
            <w:r>
              <w:rPr>
                <w:rFonts w:hint="eastAsia" w:eastAsia="仿宋_GB2312"/>
                <w:color w:val="auto"/>
              </w:rPr>
              <w:t>开户行全称：</w:t>
            </w:r>
          </w:p>
          <w:p w14:paraId="235A601F">
            <w:pPr>
              <w:pStyle w:val="7"/>
              <w:widowControl/>
              <w:spacing w:beforeAutospacing="0" w:after="0" w:afterAutospacing="0" w:line="27" w:lineRule="atLeast"/>
              <w:rPr>
                <w:rFonts w:eastAsia="仿宋_GB2312"/>
                <w:color w:val="auto"/>
              </w:rPr>
            </w:pPr>
          </w:p>
          <w:p w14:paraId="5F429AFC">
            <w:pPr>
              <w:pStyle w:val="7"/>
              <w:widowControl/>
              <w:spacing w:beforeAutospacing="0" w:after="0" w:afterAutospacing="0" w:line="27" w:lineRule="atLeast"/>
              <w:rPr>
                <w:rFonts w:eastAsia="仿宋_GB2312"/>
                <w:color w:val="auto"/>
              </w:rPr>
            </w:pPr>
            <w:r>
              <w:rPr>
                <w:rFonts w:hint="eastAsia" w:eastAsia="仿宋_GB2312"/>
                <w:color w:val="auto"/>
              </w:rPr>
              <w:t>地址：</w:t>
            </w:r>
          </w:p>
          <w:p w14:paraId="4E29745F">
            <w:pPr>
              <w:pStyle w:val="7"/>
              <w:widowControl/>
              <w:spacing w:beforeAutospacing="0" w:after="0" w:afterAutospacing="0" w:line="27" w:lineRule="atLeast"/>
              <w:rPr>
                <w:rFonts w:eastAsia="仿宋_GB2312"/>
                <w:color w:val="auto"/>
              </w:rPr>
            </w:pPr>
          </w:p>
        </w:tc>
      </w:tr>
      <w:tr w14:paraId="45A3634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887" w:type="dxa"/>
            <w:tcBorders>
              <w:top w:val="nil"/>
              <w:left w:val="nil"/>
              <w:bottom w:val="nil"/>
              <w:right w:val="nil"/>
            </w:tcBorders>
            <w:shd w:val="clear" w:color="auto" w:fill="auto"/>
          </w:tcPr>
          <w:p w14:paraId="7D378BA3">
            <w:pPr>
              <w:pStyle w:val="7"/>
              <w:widowControl/>
              <w:spacing w:beforeAutospacing="0" w:after="0" w:afterAutospacing="0" w:line="27" w:lineRule="atLeast"/>
              <w:jc w:val="right"/>
              <w:rPr>
                <w:color w:val="auto"/>
              </w:rPr>
            </w:pPr>
            <w:r>
              <w:rPr>
                <w:rFonts w:eastAsia="仿宋_GB2312"/>
                <w:color w:val="auto"/>
              </w:rPr>
              <w:t> 年   月   日</w:t>
            </w:r>
          </w:p>
        </w:tc>
        <w:tc>
          <w:tcPr>
            <w:tcW w:w="1120" w:type="dxa"/>
            <w:tcBorders>
              <w:top w:val="nil"/>
              <w:left w:val="nil"/>
              <w:bottom w:val="nil"/>
              <w:right w:val="nil"/>
            </w:tcBorders>
            <w:shd w:val="clear" w:color="auto" w:fill="auto"/>
          </w:tcPr>
          <w:p w14:paraId="56A53A84">
            <w:pPr>
              <w:pStyle w:val="7"/>
              <w:widowControl/>
              <w:spacing w:beforeAutospacing="0" w:after="0" w:afterAutospacing="0" w:line="27" w:lineRule="atLeast"/>
              <w:jc w:val="center"/>
              <w:rPr>
                <w:color w:val="auto"/>
              </w:rPr>
            </w:pPr>
            <w:r>
              <w:rPr>
                <w:rFonts w:eastAsia="-webkit-standard"/>
                <w:color w:val="auto"/>
              </w:rPr>
              <w:t> </w:t>
            </w:r>
          </w:p>
        </w:tc>
        <w:tc>
          <w:tcPr>
            <w:tcW w:w="3633" w:type="dxa"/>
            <w:tcBorders>
              <w:top w:val="nil"/>
              <w:left w:val="nil"/>
              <w:bottom w:val="nil"/>
              <w:right w:val="nil"/>
            </w:tcBorders>
            <w:shd w:val="clear" w:color="auto" w:fill="auto"/>
          </w:tcPr>
          <w:p w14:paraId="0734FF43">
            <w:pPr>
              <w:pStyle w:val="7"/>
              <w:widowControl/>
              <w:spacing w:beforeAutospacing="0" w:after="0" w:afterAutospacing="0" w:line="27" w:lineRule="atLeast"/>
              <w:jc w:val="right"/>
              <w:rPr>
                <w:color w:val="auto"/>
              </w:rPr>
            </w:pPr>
            <w:r>
              <w:rPr>
                <w:rFonts w:eastAsia="仿宋_GB2312"/>
                <w:color w:val="auto"/>
              </w:rPr>
              <w:t> 年   月   日</w:t>
            </w:r>
          </w:p>
        </w:tc>
      </w:tr>
    </w:tbl>
    <w:p w14:paraId="14218767">
      <w:pPr>
        <w:pStyle w:val="7"/>
        <w:widowControl/>
        <w:spacing w:beforeAutospacing="0" w:after="0" w:afterAutospacing="0" w:line="324" w:lineRule="atLeast"/>
        <w:jc w:val="both"/>
        <w:rPr>
          <w:color w:val="auto"/>
        </w:rPr>
      </w:pPr>
      <w:r>
        <w:rPr>
          <w:rFonts w:eastAsia="-webkit-standard"/>
          <w:color w:val="auto"/>
          <w:sz w:val="27"/>
          <w:szCs w:val="27"/>
        </w:rPr>
        <w:t> </w:t>
      </w:r>
    </w:p>
    <w:sectPr>
      <w:footerReference r:id="rId3" w:type="default"/>
      <w:pgSz w:w="11906" w:h="16838"/>
      <w:pgMar w:top="2098" w:right="1474" w:bottom="1701"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B4F5">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4FB4E">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C4FB4E">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1F391">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C1F391">
                    <w:pPr>
                      <w:pStyle w:val="5"/>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0FE4E">
                          <w:pPr>
                            <w:pStyle w:val="5"/>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30FE4E">
                    <w:pPr>
                      <w:pStyle w:val="5"/>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YjZhNWIxYjdlNmJiNWI3MzNlMTQ0MWMyODNmNzgifQ=="/>
  </w:docVars>
  <w:rsids>
    <w:rsidRoot w:val="0BBD7878"/>
    <w:rsid w:val="0265489D"/>
    <w:rsid w:val="03BF20F4"/>
    <w:rsid w:val="06592855"/>
    <w:rsid w:val="06C929F2"/>
    <w:rsid w:val="09BC4A90"/>
    <w:rsid w:val="0AFF61EA"/>
    <w:rsid w:val="0BBD7878"/>
    <w:rsid w:val="0D431B47"/>
    <w:rsid w:val="0E2C21E4"/>
    <w:rsid w:val="0ED32660"/>
    <w:rsid w:val="12A54313"/>
    <w:rsid w:val="14537D9F"/>
    <w:rsid w:val="15C471A6"/>
    <w:rsid w:val="18A62B93"/>
    <w:rsid w:val="18C354F3"/>
    <w:rsid w:val="1A7D03A7"/>
    <w:rsid w:val="1B1464DA"/>
    <w:rsid w:val="1BD61A4F"/>
    <w:rsid w:val="1BF81957"/>
    <w:rsid w:val="2036760C"/>
    <w:rsid w:val="21376286"/>
    <w:rsid w:val="24DD19D3"/>
    <w:rsid w:val="25E657EC"/>
    <w:rsid w:val="28906807"/>
    <w:rsid w:val="2BC5737C"/>
    <w:rsid w:val="2D8F19F0"/>
    <w:rsid w:val="2DA87EF7"/>
    <w:rsid w:val="2F1C5505"/>
    <w:rsid w:val="2F370591"/>
    <w:rsid w:val="31562733"/>
    <w:rsid w:val="3196159F"/>
    <w:rsid w:val="31CC3B8B"/>
    <w:rsid w:val="338F274A"/>
    <w:rsid w:val="37103BA1"/>
    <w:rsid w:val="38F43164"/>
    <w:rsid w:val="3A8F74D3"/>
    <w:rsid w:val="3A9B5E78"/>
    <w:rsid w:val="3D0221DE"/>
    <w:rsid w:val="3E2E7003"/>
    <w:rsid w:val="3F7B6278"/>
    <w:rsid w:val="40572841"/>
    <w:rsid w:val="4386120F"/>
    <w:rsid w:val="43DA5526"/>
    <w:rsid w:val="47BB36B5"/>
    <w:rsid w:val="47D4366A"/>
    <w:rsid w:val="4A273B1B"/>
    <w:rsid w:val="4E9904C8"/>
    <w:rsid w:val="4FD035E3"/>
    <w:rsid w:val="501E6ED7"/>
    <w:rsid w:val="56130B60"/>
    <w:rsid w:val="567A0E86"/>
    <w:rsid w:val="56DB2340"/>
    <w:rsid w:val="58213B82"/>
    <w:rsid w:val="5B6636DD"/>
    <w:rsid w:val="5B7E4CCE"/>
    <w:rsid w:val="5C85358B"/>
    <w:rsid w:val="5CB84C77"/>
    <w:rsid w:val="5D4930BA"/>
    <w:rsid w:val="5DAA7FFC"/>
    <w:rsid w:val="5E7D6D0E"/>
    <w:rsid w:val="628B5D3A"/>
    <w:rsid w:val="631E4FBD"/>
    <w:rsid w:val="6396187F"/>
    <w:rsid w:val="66A571C8"/>
    <w:rsid w:val="69360996"/>
    <w:rsid w:val="6CED1CB3"/>
    <w:rsid w:val="6DEE5CE3"/>
    <w:rsid w:val="6DFD7CD4"/>
    <w:rsid w:val="6E8403F6"/>
    <w:rsid w:val="743611F2"/>
    <w:rsid w:val="7480340D"/>
    <w:rsid w:val="7524075A"/>
    <w:rsid w:val="762B73A9"/>
    <w:rsid w:val="76CC0B8C"/>
    <w:rsid w:val="78210A63"/>
    <w:rsid w:val="7AF21278"/>
    <w:rsid w:val="7B5573A2"/>
    <w:rsid w:val="7B8C6B3B"/>
    <w:rsid w:val="7BCB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1634</Words>
  <Characters>1705</Characters>
  <Lines>0</Lines>
  <Paragraphs>0</Paragraphs>
  <TotalTime>6</TotalTime>
  <ScaleCrop>false</ScaleCrop>
  <LinksUpToDate>false</LinksUpToDate>
  <CharactersWithSpaces>1744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2024-08-01T10:39:00Z</dcterms:created>
  <dc:creator>贾薇</dc:creator>
  <cp:lastModifiedBy>木木</cp:lastModifiedBy>
  <dcterms:modified xsi:type="dcterms:W3CDTF">2024-08-21T04:06:54Z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942505709A9E4896A45B40651AAD8E27_13</vt:lpwstr>
  </property>
</Properties>
</file>